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F09AE9" w14:textId="77777777" w:rsidR="00CD6648" w:rsidRDefault="00CD6648" w:rsidP="00A97CC5">
      <w:pPr>
        <w:spacing w:after="0"/>
        <w:jc w:val="center"/>
        <w:rPr>
          <w:rFonts w:ascii="Arial" w:eastAsia="Calibri" w:hAnsi="Arial" w:cs="Arial"/>
          <w:b/>
          <w:sz w:val="20"/>
          <w:szCs w:val="20"/>
          <w:lang w:val="es-CO" w:eastAsia="es-ES"/>
        </w:rPr>
      </w:pPr>
    </w:p>
    <w:p w14:paraId="568E1488" w14:textId="445C21F4" w:rsidR="009B04EB" w:rsidRPr="008574F3" w:rsidRDefault="009B04EB" w:rsidP="009B04EB">
      <w:pPr>
        <w:spacing w:after="0"/>
        <w:jc w:val="center"/>
        <w:rPr>
          <w:rFonts w:ascii="Arial" w:eastAsia="Calibri" w:hAnsi="Arial" w:cs="Arial"/>
          <w:b/>
          <w:sz w:val="20"/>
          <w:szCs w:val="20"/>
          <w:lang w:val="es-CO" w:eastAsia="es-ES"/>
        </w:rPr>
      </w:pPr>
      <w:r w:rsidRPr="008574F3">
        <w:rPr>
          <w:rFonts w:ascii="Arial" w:eastAsia="Calibri" w:hAnsi="Arial" w:cs="Arial"/>
          <w:b/>
          <w:sz w:val="20"/>
          <w:szCs w:val="20"/>
          <w:lang w:val="es-CO" w:eastAsia="es-ES"/>
        </w:rPr>
        <w:t xml:space="preserve">INFORME </w:t>
      </w:r>
      <w:r w:rsidR="00601850">
        <w:rPr>
          <w:rFonts w:ascii="Arial" w:eastAsia="Calibri" w:hAnsi="Arial" w:cs="Arial"/>
          <w:b/>
          <w:sz w:val="20"/>
          <w:szCs w:val="20"/>
          <w:lang w:val="es-CO" w:eastAsia="es-ES"/>
        </w:rPr>
        <w:t>FINAL</w:t>
      </w:r>
      <w:r w:rsidRPr="008574F3">
        <w:rPr>
          <w:rFonts w:ascii="Arial" w:eastAsia="Calibri" w:hAnsi="Arial" w:cs="Arial"/>
          <w:b/>
          <w:sz w:val="20"/>
          <w:szCs w:val="20"/>
          <w:lang w:val="es-CO" w:eastAsia="es-ES"/>
        </w:rPr>
        <w:t xml:space="preserve"> DE AUDITORIA</w:t>
      </w:r>
    </w:p>
    <w:p w14:paraId="23B68731" w14:textId="77777777" w:rsidR="009B04EB" w:rsidRPr="008574F3" w:rsidRDefault="009B04EB" w:rsidP="009B04EB">
      <w:pPr>
        <w:spacing w:after="0"/>
        <w:jc w:val="both"/>
        <w:rPr>
          <w:rFonts w:ascii="Arial" w:eastAsia="Calibri" w:hAnsi="Arial" w:cs="Arial"/>
          <w:sz w:val="20"/>
          <w:szCs w:val="20"/>
          <w:lang w:val="es-CO" w:eastAsia="es-ES"/>
        </w:rPr>
      </w:pPr>
    </w:p>
    <w:p w14:paraId="2C6D2EDB" w14:textId="5E749F2B" w:rsidR="009B04EB" w:rsidRPr="008574F3" w:rsidRDefault="009B04EB" w:rsidP="009B04EB">
      <w:pPr>
        <w:spacing w:after="0"/>
        <w:jc w:val="both"/>
        <w:rPr>
          <w:rFonts w:ascii="Arial" w:eastAsia="Calibri" w:hAnsi="Arial" w:cs="Arial"/>
          <w:sz w:val="20"/>
          <w:szCs w:val="20"/>
          <w:lang w:val="es-CO" w:eastAsia="es-ES"/>
        </w:rPr>
      </w:pPr>
      <w:r w:rsidRPr="008574F3">
        <w:rPr>
          <w:rFonts w:ascii="Arial" w:eastAsia="Calibri" w:hAnsi="Arial" w:cs="Arial"/>
          <w:sz w:val="20"/>
          <w:szCs w:val="20"/>
          <w:lang w:val="es-CO" w:eastAsia="es-ES"/>
        </w:rPr>
        <w:t>El Grupo Auditor de la Oficina de Control Interno, en ejercicio de las funciones legales dispuestas en l</w:t>
      </w:r>
      <w:r w:rsidR="00620D90">
        <w:rPr>
          <w:rFonts w:ascii="Arial" w:eastAsia="Calibri" w:hAnsi="Arial" w:cs="Arial"/>
          <w:sz w:val="20"/>
          <w:szCs w:val="20"/>
          <w:lang w:val="es-CO" w:eastAsia="es-ES"/>
        </w:rPr>
        <w:t>a Ley 87 de 1993, el Decreto 1083 de 2015</w:t>
      </w:r>
      <w:r w:rsidRPr="008574F3">
        <w:rPr>
          <w:rFonts w:ascii="Arial" w:eastAsia="Calibri" w:hAnsi="Arial" w:cs="Arial"/>
          <w:sz w:val="20"/>
          <w:szCs w:val="20"/>
          <w:lang w:val="es-CO" w:eastAsia="es-ES"/>
        </w:rPr>
        <w:t xml:space="preserve"> y la Resolución 100 del 5 de febrero de 2016 </w:t>
      </w:r>
      <w:r w:rsidR="00620D90">
        <w:rPr>
          <w:rFonts w:ascii="Arial" w:eastAsia="Calibri" w:hAnsi="Arial" w:cs="Arial"/>
          <w:sz w:val="20"/>
          <w:szCs w:val="20"/>
          <w:lang w:val="es-CO" w:eastAsia="es-ES"/>
        </w:rPr>
        <w:t xml:space="preserve">ajustada por la Resolución 04271 de 2018 </w:t>
      </w:r>
      <w:r w:rsidRPr="008574F3">
        <w:rPr>
          <w:rFonts w:ascii="Arial" w:eastAsia="Calibri" w:hAnsi="Arial" w:cs="Arial"/>
          <w:sz w:val="20"/>
          <w:szCs w:val="20"/>
          <w:lang w:val="es-CO" w:eastAsia="es-ES"/>
        </w:rPr>
        <w:t xml:space="preserve">de la Unidad para la Atención y Reparación Integral a las Victimas, además de las normas que reglamentan o modifican las anteriores disposiciones normativas en el ámbito de la evaluación del Sistema de Control Interno, presenta el informe </w:t>
      </w:r>
      <w:r w:rsidR="007E260C">
        <w:rPr>
          <w:rFonts w:ascii="Arial" w:eastAsia="Calibri" w:hAnsi="Arial" w:cs="Arial"/>
          <w:sz w:val="20"/>
          <w:szCs w:val="20"/>
          <w:lang w:val="es-CO" w:eastAsia="es-ES"/>
        </w:rPr>
        <w:t>final</w:t>
      </w:r>
      <w:r w:rsidRPr="008574F3">
        <w:rPr>
          <w:rFonts w:ascii="Arial" w:eastAsia="Calibri" w:hAnsi="Arial" w:cs="Arial"/>
          <w:sz w:val="20"/>
          <w:szCs w:val="20"/>
          <w:lang w:val="es-CO" w:eastAsia="es-ES"/>
        </w:rPr>
        <w:t xml:space="preserve"> del proceso auditor que se relaciona a continuación:</w:t>
      </w:r>
    </w:p>
    <w:p w14:paraId="73AB490B" w14:textId="77777777" w:rsidR="009B04EB" w:rsidRPr="008574F3" w:rsidRDefault="009B04EB" w:rsidP="009B04EB">
      <w:pPr>
        <w:spacing w:after="0"/>
        <w:jc w:val="both"/>
        <w:rPr>
          <w:rFonts w:ascii="Arial" w:eastAsia="Calibri" w:hAnsi="Arial" w:cs="Arial"/>
          <w:sz w:val="20"/>
          <w:szCs w:val="20"/>
          <w:lang w:val="es-CO" w:eastAsia="es-ES"/>
        </w:rPr>
      </w:pPr>
    </w:p>
    <w:p w14:paraId="0D1E21C3" w14:textId="77777777" w:rsidR="009B04EB" w:rsidRPr="008574F3" w:rsidRDefault="009B04EB" w:rsidP="009B04EB">
      <w:pPr>
        <w:spacing w:after="0"/>
        <w:ind w:left="3544" w:hanging="3544"/>
        <w:jc w:val="both"/>
        <w:rPr>
          <w:rFonts w:ascii="Arial" w:eastAsia="Calibri" w:hAnsi="Arial" w:cs="Arial"/>
          <w:sz w:val="20"/>
          <w:szCs w:val="20"/>
          <w:lang w:val="es-CO" w:eastAsia="es-ES"/>
        </w:rPr>
      </w:pPr>
      <w:r w:rsidRPr="008574F3">
        <w:rPr>
          <w:rFonts w:ascii="Arial" w:eastAsia="Calibri" w:hAnsi="Arial" w:cs="Arial"/>
          <w:sz w:val="20"/>
          <w:szCs w:val="20"/>
          <w:lang w:val="es-CO" w:eastAsia="es-ES"/>
        </w:rPr>
        <w:t xml:space="preserve">Nombre del proceso auditado: </w:t>
      </w:r>
      <w:r w:rsidRPr="008574F3">
        <w:rPr>
          <w:rFonts w:ascii="Arial" w:eastAsia="Calibri" w:hAnsi="Arial" w:cs="Arial"/>
          <w:sz w:val="20"/>
          <w:szCs w:val="20"/>
          <w:lang w:val="es-CO" w:eastAsia="es-ES"/>
        </w:rPr>
        <w:tab/>
        <w:t>Gestión Financiera</w:t>
      </w:r>
    </w:p>
    <w:p w14:paraId="5801E591" w14:textId="77777777" w:rsidR="009B04EB" w:rsidRPr="008574F3" w:rsidRDefault="009B04EB" w:rsidP="009B04EB">
      <w:pPr>
        <w:spacing w:after="0"/>
        <w:ind w:left="3544" w:hanging="3544"/>
        <w:jc w:val="both"/>
        <w:rPr>
          <w:rFonts w:ascii="Arial" w:eastAsia="Calibri" w:hAnsi="Arial" w:cs="Arial"/>
          <w:sz w:val="20"/>
          <w:szCs w:val="20"/>
          <w:lang w:val="es-CO" w:eastAsia="es-ES"/>
        </w:rPr>
      </w:pPr>
    </w:p>
    <w:p w14:paraId="5BD0E090" w14:textId="3F031F73" w:rsidR="009B04EB" w:rsidRPr="008574F3" w:rsidRDefault="009B04EB" w:rsidP="009B04EB">
      <w:pPr>
        <w:spacing w:after="0"/>
        <w:ind w:left="3540" w:hanging="3540"/>
        <w:jc w:val="both"/>
        <w:rPr>
          <w:rFonts w:ascii="Arial" w:eastAsia="Calibri" w:hAnsi="Arial" w:cs="Arial"/>
          <w:sz w:val="20"/>
          <w:szCs w:val="20"/>
          <w:lang w:val="es-CO" w:eastAsia="es-ES"/>
        </w:rPr>
      </w:pPr>
      <w:r w:rsidRPr="008574F3">
        <w:rPr>
          <w:rFonts w:ascii="Arial" w:eastAsia="Calibri" w:hAnsi="Arial" w:cs="Arial"/>
          <w:sz w:val="20"/>
          <w:szCs w:val="20"/>
          <w:lang w:val="es-CO" w:eastAsia="es-ES"/>
        </w:rPr>
        <w:t>Dependencia líder del proceso:</w:t>
      </w:r>
      <w:r w:rsidRPr="008574F3">
        <w:rPr>
          <w:rFonts w:ascii="Arial" w:eastAsia="Calibri" w:hAnsi="Arial" w:cs="Arial"/>
          <w:sz w:val="20"/>
          <w:szCs w:val="20"/>
          <w:lang w:val="es-CO" w:eastAsia="es-ES"/>
        </w:rPr>
        <w:tab/>
        <w:t>Secretaria General – Grupo de Gestión Fi</w:t>
      </w:r>
      <w:r w:rsidR="007E260C">
        <w:rPr>
          <w:rFonts w:ascii="Arial" w:eastAsia="Calibri" w:hAnsi="Arial" w:cs="Arial"/>
          <w:sz w:val="20"/>
          <w:szCs w:val="20"/>
          <w:lang w:val="es-CO" w:eastAsia="es-ES"/>
        </w:rPr>
        <w:t>nanciera</w:t>
      </w:r>
    </w:p>
    <w:p w14:paraId="7743DBEF" w14:textId="77777777" w:rsidR="009B04EB" w:rsidRPr="008574F3" w:rsidRDefault="009B04EB" w:rsidP="009B04EB">
      <w:pPr>
        <w:spacing w:after="0"/>
        <w:jc w:val="both"/>
        <w:rPr>
          <w:rFonts w:ascii="Arial" w:eastAsia="Calibri" w:hAnsi="Arial" w:cs="Arial"/>
          <w:sz w:val="20"/>
          <w:szCs w:val="20"/>
          <w:lang w:val="es-CO" w:eastAsia="es-ES"/>
        </w:rPr>
      </w:pPr>
    </w:p>
    <w:p w14:paraId="395E6F11" w14:textId="5AFE2303" w:rsidR="00532B71" w:rsidRDefault="009B04EB" w:rsidP="009B04EB">
      <w:pPr>
        <w:spacing w:after="0"/>
        <w:jc w:val="both"/>
        <w:rPr>
          <w:rFonts w:ascii="Arial" w:eastAsia="Calibri" w:hAnsi="Arial" w:cs="Arial"/>
          <w:sz w:val="20"/>
          <w:szCs w:val="20"/>
          <w:lang w:val="es-CO" w:eastAsia="es-ES"/>
        </w:rPr>
      </w:pPr>
      <w:r w:rsidRPr="008574F3">
        <w:rPr>
          <w:rFonts w:ascii="Arial" w:eastAsia="Calibri" w:hAnsi="Arial" w:cs="Arial"/>
          <w:sz w:val="20"/>
          <w:szCs w:val="20"/>
          <w:lang w:val="es-CO" w:eastAsia="es-ES"/>
        </w:rPr>
        <w:t>Servidor responsable del proceso:</w:t>
      </w:r>
      <w:r w:rsidRPr="008574F3">
        <w:rPr>
          <w:rFonts w:ascii="Arial" w:eastAsia="Calibri" w:hAnsi="Arial" w:cs="Arial"/>
          <w:sz w:val="20"/>
          <w:szCs w:val="20"/>
          <w:lang w:val="es-CO" w:eastAsia="es-ES"/>
        </w:rPr>
        <w:tab/>
        <w:t xml:space="preserve">Carolina </w:t>
      </w:r>
      <w:r w:rsidR="00603402" w:rsidRPr="008574F3">
        <w:rPr>
          <w:rFonts w:ascii="Arial" w:eastAsia="Calibri" w:hAnsi="Arial" w:cs="Arial"/>
          <w:sz w:val="20"/>
          <w:szCs w:val="20"/>
          <w:lang w:val="es-CO" w:eastAsia="es-ES"/>
        </w:rPr>
        <w:t>María</w:t>
      </w:r>
      <w:r w:rsidRPr="008574F3">
        <w:rPr>
          <w:rFonts w:ascii="Arial" w:eastAsia="Calibri" w:hAnsi="Arial" w:cs="Arial"/>
          <w:sz w:val="20"/>
          <w:szCs w:val="20"/>
          <w:lang w:val="es-CO" w:eastAsia="es-ES"/>
        </w:rPr>
        <w:t xml:space="preserve"> Moncada Za</w:t>
      </w:r>
      <w:r w:rsidR="00532B71">
        <w:rPr>
          <w:rFonts w:ascii="Arial" w:eastAsia="Calibri" w:hAnsi="Arial" w:cs="Arial"/>
          <w:sz w:val="20"/>
          <w:szCs w:val="20"/>
          <w:lang w:val="es-CO" w:eastAsia="es-ES"/>
        </w:rPr>
        <w:t xml:space="preserve">pata y </w:t>
      </w:r>
      <w:proofErr w:type="spellStart"/>
      <w:r w:rsidR="00532B71">
        <w:rPr>
          <w:rFonts w:ascii="Arial" w:eastAsia="Calibri" w:hAnsi="Arial" w:cs="Arial"/>
          <w:sz w:val="20"/>
          <w:szCs w:val="20"/>
          <w:lang w:val="es-CO" w:eastAsia="es-ES"/>
        </w:rPr>
        <w:t>Zandra</w:t>
      </w:r>
      <w:proofErr w:type="spellEnd"/>
      <w:r w:rsidR="00532B71">
        <w:rPr>
          <w:rFonts w:ascii="Arial" w:eastAsia="Calibri" w:hAnsi="Arial" w:cs="Arial"/>
          <w:sz w:val="20"/>
          <w:szCs w:val="20"/>
          <w:lang w:val="es-CO" w:eastAsia="es-ES"/>
        </w:rPr>
        <w:t xml:space="preserve"> </w:t>
      </w:r>
      <w:proofErr w:type="spellStart"/>
      <w:r w:rsidR="00532B71">
        <w:rPr>
          <w:rFonts w:ascii="Arial" w:eastAsia="Calibri" w:hAnsi="Arial" w:cs="Arial"/>
          <w:sz w:val="20"/>
          <w:szCs w:val="20"/>
          <w:lang w:val="es-CO" w:eastAsia="es-ES"/>
        </w:rPr>
        <w:t>Cleotilde</w:t>
      </w:r>
      <w:proofErr w:type="spellEnd"/>
      <w:r w:rsidR="00532B71">
        <w:rPr>
          <w:rFonts w:ascii="Arial" w:eastAsia="Calibri" w:hAnsi="Arial" w:cs="Arial"/>
          <w:sz w:val="20"/>
          <w:szCs w:val="20"/>
          <w:lang w:val="es-CO" w:eastAsia="es-ES"/>
        </w:rPr>
        <w:t xml:space="preserve"> Riveros </w:t>
      </w:r>
    </w:p>
    <w:p w14:paraId="672360EC" w14:textId="77777777" w:rsidR="00532B71" w:rsidRPr="008574F3" w:rsidRDefault="00532B71" w:rsidP="009B04EB">
      <w:pPr>
        <w:spacing w:after="0"/>
        <w:jc w:val="both"/>
        <w:rPr>
          <w:rFonts w:ascii="Arial" w:eastAsia="Calibri" w:hAnsi="Arial" w:cs="Arial"/>
          <w:sz w:val="20"/>
          <w:szCs w:val="20"/>
          <w:lang w:val="es-CO" w:eastAsia="es-ES"/>
        </w:rPr>
      </w:pPr>
    </w:p>
    <w:p w14:paraId="40931F6A" w14:textId="77777777" w:rsidR="009B04EB" w:rsidRPr="008574F3" w:rsidRDefault="009B04EB" w:rsidP="009B04EB">
      <w:pPr>
        <w:spacing w:after="0"/>
        <w:jc w:val="both"/>
        <w:rPr>
          <w:rFonts w:ascii="Arial" w:eastAsia="Calibri" w:hAnsi="Arial" w:cs="Arial"/>
          <w:sz w:val="20"/>
          <w:szCs w:val="20"/>
          <w:lang w:val="es-CO" w:eastAsia="es-ES"/>
        </w:rPr>
      </w:pPr>
      <w:r w:rsidRPr="008574F3">
        <w:rPr>
          <w:rFonts w:ascii="Arial" w:eastAsia="Calibri" w:hAnsi="Arial" w:cs="Arial"/>
          <w:sz w:val="20"/>
          <w:szCs w:val="20"/>
          <w:lang w:val="es-CO" w:eastAsia="es-ES"/>
        </w:rPr>
        <w:t>Tipo de auditoría realizada:</w:t>
      </w:r>
      <w:r w:rsidRPr="008574F3">
        <w:rPr>
          <w:rFonts w:ascii="Arial" w:eastAsia="Calibri" w:hAnsi="Arial" w:cs="Arial"/>
          <w:sz w:val="20"/>
          <w:szCs w:val="20"/>
          <w:lang w:val="es-CO" w:eastAsia="es-ES"/>
        </w:rPr>
        <w:tab/>
      </w:r>
      <w:r w:rsidRPr="008574F3">
        <w:rPr>
          <w:rFonts w:ascii="Arial" w:eastAsia="Calibri" w:hAnsi="Arial" w:cs="Arial"/>
          <w:sz w:val="20"/>
          <w:szCs w:val="20"/>
          <w:lang w:val="es-CO" w:eastAsia="es-ES"/>
        </w:rPr>
        <w:tab/>
        <w:t>De primera parte, efectividad del sistema de control interno</w:t>
      </w:r>
    </w:p>
    <w:p w14:paraId="6728F8AD" w14:textId="77777777" w:rsidR="009B04EB" w:rsidRPr="008574F3" w:rsidRDefault="009B04EB" w:rsidP="009B04EB">
      <w:pPr>
        <w:spacing w:after="0"/>
        <w:jc w:val="both"/>
        <w:rPr>
          <w:rFonts w:ascii="Arial" w:eastAsia="Calibri" w:hAnsi="Arial" w:cs="Arial"/>
          <w:sz w:val="20"/>
          <w:szCs w:val="20"/>
          <w:lang w:val="es-CO" w:eastAsia="es-ES"/>
        </w:rPr>
      </w:pPr>
    </w:p>
    <w:p w14:paraId="29D8F684" w14:textId="77777777" w:rsidR="009B04EB" w:rsidRPr="008574F3" w:rsidRDefault="009B04EB" w:rsidP="009B04EB">
      <w:pPr>
        <w:spacing w:after="0"/>
        <w:jc w:val="both"/>
        <w:rPr>
          <w:rFonts w:ascii="Arial" w:eastAsia="Calibri" w:hAnsi="Arial" w:cs="Arial"/>
          <w:sz w:val="20"/>
          <w:szCs w:val="20"/>
          <w:lang w:val="es-CO" w:eastAsia="es-ES"/>
        </w:rPr>
      </w:pPr>
      <w:r w:rsidRPr="008574F3">
        <w:rPr>
          <w:rFonts w:ascii="Arial" w:eastAsia="Calibri" w:hAnsi="Arial" w:cs="Arial"/>
          <w:sz w:val="20"/>
          <w:szCs w:val="20"/>
          <w:lang w:val="es-CO" w:eastAsia="es-ES"/>
        </w:rPr>
        <w:t>Fecha de auditoría:</w:t>
      </w:r>
      <w:r w:rsidRPr="008574F3">
        <w:rPr>
          <w:rFonts w:ascii="Arial" w:eastAsia="Calibri" w:hAnsi="Arial" w:cs="Arial"/>
          <w:sz w:val="20"/>
          <w:szCs w:val="20"/>
          <w:lang w:val="es-CO" w:eastAsia="es-ES"/>
        </w:rPr>
        <w:tab/>
      </w:r>
      <w:r w:rsidRPr="008574F3">
        <w:rPr>
          <w:rFonts w:ascii="Arial" w:eastAsia="Calibri" w:hAnsi="Arial" w:cs="Arial"/>
          <w:sz w:val="20"/>
          <w:szCs w:val="20"/>
          <w:lang w:val="es-CO" w:eastAsia="es-ES"/>
        </w:rPr>
        <w:tab/>
      </w:r>
      <w:r w:rsidRPr="008574F3">
        <w:rPr>
          <w:rFonts w:ascii="Arial" w:eastAsia="Calibri" w:hAnsi="Arial" w:cs="Arial"/>
          <w:sz w:val="20"/>
          <w:szCs w:val="20"/>
          <w:lang w:val="es-CO" w:eastAsia="es-ES"/>
        </w:rPr>
        <w:tab/>
        <w:t>3 de septiembre de 2018 y hasta el día 30 de octubre 2018</w:t>
      </w:r>
    </w:p>
    <w:p w14:paraId="0375EE7D" w14:textId="77777777" w:rsidR="009B04EB" w:rsidRPr="008574F3" w:rsidRDefault="009B04EB" w:rsidP="009B04EB">
      <w:pPr>
        <w:spacing w:after="0"/>
        <w:ind w:left="708"/>
        <w:jc w:val="both"/>
        <w:rPr>
          <w:rFonts w:ascii="Arial" w:eastAsia="Calibri" w:hAnsi="Arial" w:cs="Arial"/>
          <w:sz w:val="20"/>
          <w:szCs w:val="20"/>
          <w:lang w:val="es-CO" w:eastAsia="es-ES"/>
        </w:rPr>
      </w:pPr>
    </w:p>
    <w:p w14:paraId="5E4ADE4A" w14:textId="77777777" w:rsidR="009B04EB" w:rsidRPr="008574F3" w:rsidRDefault="009B04EB" w:rsidP="00950402">
      <w:pPr>
        <w:spacing w:after="0"/>
        <w:jc w:val="both"/>
        <w:rPr>
          <w:rFonts w:ascii="Arial" w:eastAsia="Calibri" w:hAnsi="Arial" w:cs="Arial"/>
          <w:sz w:val="20"/>
          <w:szCs w:val="20"/>
          <w:lang w:val="es-CO" w:eastAsia="es-ES"/>
        </w:rPr>
      </w:pPr>
      <w:r w:rsidRPr="008574F3">
        <w:rPr>
          <w:rFonts w:ascii="Arial" w:eastAsia="Calibri" w:hAnsi="Arial" w:cs="Arial"/>
          <w:sz w:val="20"/>
          <w:szCs w:val="20"/>
          <w:lang w:val="es-CO" w:eastAsia="es-ES"/>
        </w:rPr>
        <w:t>Grupo Auditor:</w:t>
      </w:r>
      <w:r w:rsidRPr="008574F3">
        <w:rPr>
          <w:rFonts w:ascii="Arial" w:eastAsia="Calibri" w:hAnsi="Arial" w:cs="Arial"/>
          <w:sz w:val="20"/>
          <w:szCs w:val="20"/>
          <w:lang w:val="es-CO" w:eastAsia="es-ES"/>
        </w:rPr>
        <w:tab/>
        <w:t xml:space="preserve">                                    Auditora Líder contadora Ana María Ángel Acosta </w:t>
      </w:r>
    </w:p>
    <w:p w14:paraId="793EB584" w14:textId="77777777" w:rsidR="009B04EB" w:rsidRPr="008574F3" w:rsidRDefault="009B04EB" w:rsidP="00950402">
      <w:pPr>
        <w:spacing w:after="0"/>
        <w:jc w:val="both"/>
        <w:rPr>
          <w:rFonts w:ascii="Arial" w:eastAsia="Calibri" w:hAnsi="Arial" w:cs="Arial"/>
          <w:sz w:val="20"/>
          <w:szCs w:val="20"/>
          <w:lang w:val="es-CO" w:eastAsia="es-ES"/>
        </w:rPr>
      </w:pPr>
      <w:r w:rsidRPr="008574F3">
        <w:rPr>
          <w:rFonts w:ascii="Arial" w:eastAsia="Calibri" w:hAnsi="Arial" w:cs="Arial"/>
          <w:sz w:val="20"/>
          <w:szCs w:val="20"/>
          <w:lang w:val="es-CO" w:eastAsia="es-ES"/>
        </w:rPr>
        <w:t xml:space="preserve">                                                             Auditor contador William Arturo Márquez Montero </w:t>
      </w:r>
    </w:p>
    <w:p w14:paraId="75C673B9" w14:textId="77777777" w:rsidR="009B04EB" w:rsidRPr="008574F3" w:rsidRDefault="009B04EB" w:rsidP="00950402">
      <w:pPr>
        <w:spacing w:after="0"/>
        <w:jc w:val="both"/>
        <w:rPr>
          <w:rFonts w:ascii="Arial" w:eastAsia="Calibri" w:hAnsi="Arial" w:cs="Arial"/>
          <w:sz w:val="20"/>
          <w:szCs w:val="20"/>
          <w:lang w:val="es-CO" w:eastAsia="es-ES"/>
        </w:rPr>
      </w:pPr>
      <w:r w:rsidRPr="008574F3">
        <w:rPr>
          <w:rFonts w:ascii="Arial" w:eastAsia="Calibri" w:hAnsi="Arial" w:cs="Arial"/>
          <w:sz w:val="20"/>
          <w:szCs w:val="20"/>
          <w:lang w:val="es-CO" w:eastAsia="es-ES"/>
        </w:rPr>
        <w:t xml:space="preserve">                                                             Auditora contadora Luz Amparo García Ortega</w:t>
      </w:r>
    </w:p>
    <w:p w14:paraId="59527A44" w14:textId="77777777" w:rsidR="009B04EB" w:rsidRPr="008574F3" w:rsidRDefault="009B04EB" w:rsidP="00950402">
      <w:pPr>
        <w:spacing w:after="0"/>
        <w:jc w:val="both"/>
        <w:rPr>
          <w:rFonts w:ascii="Arial" w:eastAsia="Calibri" w:hAnsi="Arial" w:cs="Arial"/>
          <w:sz w:val="20"/>
          <w:szCs w:val="20"/>
          <w:lang w:val="es-CO" w:eastAsia="es-ES"/>
        </w:rPr>
      </w:pPr>
      <w:r w:rsidRPr="008574F3">
        <w:rPr>
          <w:rFonts w:ascii="Arial" w:eastAsia="Calibri" w:hAnsi="Arial" w:cs="Arial"/>
          <w:sz w:val="20"/>
          <w:szCs w:val="20"/>
          <w:lang w:val="es-CO" w:eastAsia="es-ES"/>
        </w:rPr>
        <w:t xml:space="preserve">                                                             Auditor administrador José de Jesús Gutiérrez Villalba</w:t>
      </w:r>
    </w:p>
    <w:p w14:paraId="4C29587F" w14:textId="5C8F7832" w:rsidR="009B04EB" w:rsidRDefault="009B04EB" w:rsidP="00950402">
      <w:pPr>
        <w:spacing w:after="0"/>
        <w:jc w:val="both"/>
        <w:rPr>
          <w:rFonts w:ascii="Arial" w:eastAsia="Calibri" w:hAnsi="Arial" w:cs="Arial"/>
          <w:sz w:val="20"/>
          <w:szCs w:val="20"/>
          <w:lang w:val="es-CO" w:eastAsia="es-ES"/>
        </w:rPr>
      </w:pPr>
      <w:r w:rsidRPr="008574F3">
        <w:rPr>
          <w:rFonts w:ascii="Arial" w:eastAsia="Calibri" w:hAnsi="Arial" w:cs="Arial"/>
          <w:sz w:val="20"/>
          <w:szCs w:val="20"/>
          <w:lang w:val="es-CO" w:eastAsia="es-ES"/>
        </w:rPr>
        <w:t xml:space="preserve">                                                             Auditor ingeniero Juan Carlos Castellanos Mayorga</w:t>
      </w:r>
    </w:p>
    <w:p w14:paraId="0702F76D" w14:textId="77777777" w:rsidR="007E260C" w:rsidRDefault="007E260C" w:rsidP="00950402">
      <w:pPr>
        <w:spacing w:after="0"/>
        <w:jc w:val="both"/>
        <w:rPr>
          <w:rFonts w:ascii="Arial" w:eastAsia="Calibri" w:hAnsi="Arial" w:cs="Arial"/>
          <w:sz w:val="20"/>
          <w:szCs w:val="20"/>
          <w:lang w:val="es-CO" w:eastAsia="es-ES"/>
        </w:rPr>
      </w:pPr>
    </w:p>
    <w:p w14:paraId="3732DD1F" w14:textId="37411A55" w:rsidR="007E260C" w:rsidRPr="008574F3" w:rsidRDefault="007E260C" w:rsidP="00950402">
      <w:pPr>
        <w:spacing w:after="0"/>
        <w:jc w:val="both"/>
        <w:rPr>
          <w:rFonts w:ascii="Arial" w:eastAsia="Calibri" w:hAnsi="Arial" w:cs="Arial"/>
          <w:sz w:val="20"/>
          <w:szCs w:val="20"/>
          <w:lang w:val="es-CO" w:eastAsia="es-ES"/>
        </w:rPr>
      </w:pPr>
      <w:r w:rsidRPr="007E260C">
        <w:rPr>
          <w:rFonts w:ascii="Arial" w:eastAsia="Calibri" w:hAnsi="Arial" w:cs="Arial"/>
          <w:sz w:val="20"/>
          <w:szCs w:val="20"/>
          <w:lang w:val="es-CO" w:eastAsia="es-ES"/>
        </w:rPr>
        <w:t xml:space="preserve">Es de anotar que la Oficina de Control Interno remitió el informe preliminar a la Secretaria General y a la Coordinadora del Grupo de </w:t>
      </w:r>
      <w:r w:rsidRPr="008574F3">
        <w:rPr>
          <w:rFonts w:ascii="Arial" w:eastAsia="Calibri" w:hAnsi="Arial" w:cs="Arial"/>
          <w:sz w:val="20"/>
          <w:szCs w:val="20"/>
          <w:lang w:val="es-CO" w:eastAsia="es-ES"/>
        </w:rPr>
        <w:t>Gestión Financiera</w:t>
      </w:r>
      <w:r w:rsidRPr="007E260C">
        <w:rPr>
          <w:rFonts w:ascii="Arial" w:eastAsia="Calibri" w:hAnsi="Arial" w:cs="Arial"/>
          <w:sz w:val="20"/>
          <w:szCs w:val="20"/>
          <w:lang w:val="es-CO" w:eastAsia="es-ES"/>
        </w:rPr>
        <w:t xml:space="preserve"> </w:t>
      </w:r>
      <w:r>
        <w:rPr>
          <w:rFonts w:ascii="Arial" w:eastAsia="Calibri" w:hAnsi="Arial" w:cs="Arial"/>
          <w:sz w:val="20"/>
          <w:szCs w:val="20"/>
          <w:lang w:val="es-CO" w:eastAsia="es-ES"/>
        </w:rPr>
        <w:t>mediante correo electrónico el</w:t>
      </w:r>
      <w:r w:rsidRPr="007E260C">
        <w:rPr>
          <w:rFonts w:ascii="Arial" w:eastAsia="Calibri" w:hAnsi="Arial" w:cs="Arial"/>
          <w:sz w:val="20"/>
          <w:szCs w:val="20"/>
          <w:lang w:val="es-CO" w:eastAsia="es-ES"/>
        </w:rPr>
        <w:t xml:space="preserve"> </w:t>
      </w:r>
      <w:r w:rsidRPr="007E260C">
        <w:rPr>
          <w:rFonts w:ascii="Arial" w:eastAsia="Calibri" w:hAnsi="Arial" w:cs="Arial"/>
          <w:sz w:val="20"/>
          <w:szCs w:val="20"/>
          <w:lang w:val="es-CO" w:eastAsia="es-ES"/>
        </w:rPr>
        <w:t>lunes</w:t>
      </w:r>
      <w:r>
        <w:rPr>
          <w:rFonts w:ascii="Arial" w:eastAsia="Calibri" w:hAnsi="Arial" w:cs="Arial"/>
          <w:sz w:val="20"/>
          <w:szCs w:val="20"/>
          <w:lang w:val="es-CO" w:eastAsia="es-ES"/>
        </w:rPr>
        <w:t xml:space="preserve"> 03 de diciembre </w:t>
      </w:r>
      <w:r w:rsidRPr="007E260C">
        <w:rPr>
          <w:rFonts w:ascii="Arial" w:eastAsia="Calibri" w:hAnsi="Arial" w:cs="Arial"/>
          <w:sz w:val="20"/>
          <w:szCs w:val="20"/>
          <w:lang w:val="es-CO" w:eastAsia="es-ES"/>
        </w:rPr>
        <w:t xml:space="preserve">de 2018, dándole tres días hábiles para recibir observaciones, el término venció el </w:t>
      </w:r>
      <w:r>
        <w:rPr>
          <w:rFonts w:ascii="Arial" w:eastAsia="Calibri" w:hAnsi="Arial" w:cs="Arial"/>
          <w:sz w:val="20"/>
          <w:szCs w:val="20"/>
          <w:lang w:val="es-CO" w:eastAsia="es-ES"/>
        </w:rPr>
        <w:t xml:space="preserve">06 de diciembre </w:t>
      </w:r>
      <w:r w:rsidRPr="007E260C">
        <w:rPr>
          <w:rFonts w:ascii="Arial" w:eastAsia="Calibri" w:hAnsi="Arial" w:cs="Arial"/>
          <w:sz w:val="20"/>
          <w:szCs w:val="20"/>
          <w:lang w:val="es-CO" w:eastAsia="es-ES"/>
        </w:rPr>
        <w:t>del mismo año, sin que el área auditada haya presentado observaciones de fondo y en consecuencia se protocoliza el informe preliminar como definitivo</w:t>
      </w:r>
      <w:r>
        <w:rPr>
          <w:rFonts w:ascii="Arial" w:eastAsia="Calibri" w:hAnsi="Arial" w:cs="Arial"/>
          <w:sz w:val="20"/>
          <w:szCs w:val="20"/>
          <w:lang w:val="es-CO" w:eastAsia="es-ES"/>
        </w:rPr>
        <w:t>.</w:t>
      </w:r>
    </w:p>
    <w:p w14:paraId="6934D926" w14:textId="77777777" w:rsidR="009B04EB" w:rsidRPr="008574F3" w:rsidRDefault="009B04EB" w:rsidP="009B04EB">
      <w:pPr>
        <w:spacing w:after="0"/>
        <w:jc w:val="both"/>
        <w:rPr>
          <w:rFonts w:ascii="Arial" w:eastAsia="Calibri" w:hAnsi="Arial" w:cs="Arial"/>
          <w:sz w:val="20"/>
          <w:szCs w:val="20"/>
          <w:lang w:val="es-CO" w:eastAsia="es-ES"/>
        </w:rPr>
      </w:pPr>
      <w:r w:rsidRPr="008574F3">
        <w:rPr>
          <w:rFonts w:ascii="Arial" w:eastAsia="Calibri" w:hAnsi="Arial" w:cs="Arial"/>
          <w:sz w:val="20"/>
          <w:szCs w:val="20"/>
          <w:lang w:val="es-CO" w:eastAsia="es-ES"/>
        </w:rPr>
        <w:tab/>
      </w:r>
      <w:r w:rsidRPr="008574F3">
        <w:rPr>
          <w:rFonts w:ascii="Arial" w:eastAsia="Calibri" w:hAnsi="Arial" w:cs="Arial"/>
          <w:sz w:val="20"/>
          <w:szCs w:val="20"/>
          <w:lang w:val="es-CO" w:eastAsia="es-ES"/>
        </w:rPr>
        <w:tab/>
      </w:r>
    </w:p>
    <w:p w14:paraId="2B7B7EEB" w14:textId="77777777" w:rsidR="009B04EB" w:rsidRPr="008574F3" w:rsidRDefault="009B04EB" w:rsidP="009B04EB">
      <w:pPr>
        <w:pStyle w:val="Prrafodelista"/>
        <w:numPr>
          <w:ilvl w:val="0"/>
          <w:numId w:val="1"/>
        </w:numPr>
        <w:spacing w:after="0"/>
        <w:jc w:val="both"/>
        <w:rPr>
          <w:rFonts w:ascii="Arial" w:eastAsia="Calibri" w:hAnsi="Arial" w:cs="Arial"/>
          <w:b/>
          <w:sz w:val="20"/>
          <w:szCs w:val="20"/>
          <w:lang w:val="es-CO" w:eastAsia="es-ES"/>
        </w:rPr>
      </w:pPr>
      <w:r w:rsidRPr="008574F3">
        <w:rPr>
          <w:rFonts w:ascii="Arial" w:eastAsia="Calibri" w:hAnsi="Arial" w:cs="Arial"/>
          <w:b/>
          <w:sz w:val="20"/>
          <w:szCs w:val="20"/>
          <w:lang w:val="es-CO" w:eastAsia="es-ES"/>
        </w:rPr>
        <w:t xml:space="preserve">OBJETIVO DE LA AUDITORIA </w:t>
      </w:r>
      <w:bookmarkStart w:id="0" w:name="_GoBack"/>
      <w:bookmarkEnd w:id="0"/>
    </w:p>
    <w:p w14:paraId="3BC0B75E" w14:textId="77777777" w:rsidR="009B04EB" w:rsidRPr="008574F3" w:rsidRDefault="009B04EB" w:rsidP="009B04EB">
      <w:pPr>
        <w:spacing w:after="0"/>
        <w:jc w:val="both"/>
        <w:rPr>
          <w:rFonts w:ascii="Arial" w:eastAsia="Calibri" w:hAnsi="Arial" w:cs="Arial"/>
          <w:sz w:val="20"/>
          <w:szCs w:val="20"/>
          <w:lang w:val="es-CO" w:eastAsia="es-ES"/>
        </w:rPr>
      </w:pPr>
    </w:p>
    <w:p w14:paraId="6B475B40" w14:textId="77777777" w:rsidR="009B04EB" w:rsidRPr="008574F3" w:rsidRDefault="009B04EB" w:rsidP="009B04EB">
      <w:pPr>
        <w:spacing w:after="0"/>
        <w:jc w:val="both"/>
        <w:rPr>
          <w:rFonts w:ascii="Arial" w:eastAsia="Calibri" w:hAnsi="Arial" w:cs="Arial"/>
          <w:sz w:val="20"/>
          <w:szCs w:val="20"/>
          <w:lang w:val="es-CO" w:eastAsia="es-ES"/>
        </w:rPr>
      </w:pPr>
      <w:r w:rsidRPr="008574F3">
        <w:rPr>
          <w:rFonts w:ascii="Arial" w:eastAsia="Calibri" w:hAnsi="Arial" w:cs="Arial"/>
          <w:sz w:val="20"/>
          <w:szCs w:val="20"/>
          <w:lang w:val="es-CO" w:eastAsia="es-ES"/>
        </w:rPr>
        <w:t>La auditoría tiene como objetivo evaluar el comportamiento del modelo sistema de control interno asociado al procedimiento de administración presupuestal de la entidad desde el 01 de enero del 2018 al 30 de junio del 2018 visto desde el logro de metas, la aplicación de normas y modelos de gestión efectivos. Para lograr el propósito, se examinan los aspectos comunicacionales y de seguimiento a las acciones de control que se deben realizar de conformidad con la naturaleza del procedimiento.</w:t>
      </w:r>
    </w:p>
    <w:p w14:paraId="2B8498BE" w14:textId="77777777" w:rsidR="009B04EB" w:rsidRPr="008574F3" w:rsidRDefault="009B04EB" w:rsidP="009B04EB">
      <w:pPr>
        <w:spacing w:after="0"/>
        <w:jc w:val="both"/>
        <w:rPr>
          <w:rFonts w:ascii="Arial" w:eastAsia="Calibri" w:hAnsi="Arial" w:cs="Arial"/>
          <w:sz w:val="20"/>
          <w:szCs w:val="20"/>
          <w:lang w:val="es-CO" w:eastAsia="es-ES"/>
        </w:rPr>
      </w:pPr>
    </w:p>
    <w:p w14:paraId="18E4797B" w14:textId="77777777" w:rsidR="009B04EB" w:rsidRPr="008574F3" w:rsidRDefault="009B04EB" w:rsidP="009B04EB">
      <w:pPr>
        <w:spacing w:after="0"/>
        <w:jc w:val="both"/>
        <w:rPr>
          <w:rFonts w:ascii="Arial" w:eastAsia="Calibri" w:hAnsi="Arial" w:cs="Arial"/>
          <w:sz w:val="20"/>
          <w:szCs w:val="20"/>
          <w:lang w:val="es-CO" w:eastAsia="es-ES"/>
        </w:rPr>
      </w:pPr>
      <w:r w:rsidRPr="008574F3">
        <w:rPr>
          <w:rFonts w:ascii="Arial" w:eastAsia="Calibri" w:hAnsi="Arial" w:cs="Arial"/>
          <w:sz w:val="20"/>
          <w:szCs w:val="20"/>
          <w:lang w:val="es-CO" w:eastAsia="es-ES"/>
        </w:rPr>
        <w:t>Para efectos de lograr el propósito se tienen como objetivos específicos: i) Verificar que las funciones asignadas se ejecuten mediante procesos, procedimientos, guías, instructivos, formatos u cualquier instrumento formalmente adoptado por la entidad; ii) Verificar que los líderes de los procedimientos implementen, ejecuten, controlen y hagan seguimiento a las herramientas básicas de control (batería de medición, mapa de riesgos, controles, seguimiento y mejoramiento); iii) Verificar que los líderes del proceso hagan seguimiento a la gestión delegada funcional u operativamente a los miembros de su equipo de trabajo y iv)</w:t>
      </w:r>
      <w:r w:rsidRPr="008574F3">
        <w:t xml:space="preserve"> </w:t>
      </w:r>
      <w:r w:rsidRPr="008574F3">
        <w:rPr>
          <w:rFonts w:ascii="Arial" w:eastAsia="Calibri" w:hAnsi="Arial" w:cs="Arial"/>
          <w:sz w:val="20"/>
          <w:szCs w:val="20"/>
          <w:lang w:val="es-CO" w:eastAsia="es-ES"/>
        </w:rPr>
        <w:t>Verificar que los líderes de los procesos implementen, ejecuten y controlen las directrices que ellos han dispuesto con base en el modelo de gestión y control para lograr las metas propuestas en el plan de acción.</w:t>
      </w:r>
    </w:p>
    <w:p w14:paraId="10152FF7" w14:textId="77777777" w:rsidR="009B04EB" w:rsidRPr="008574F3" w:rsidRDefault="009B04EB" w:rsidP="009B04EB">
      <w:pPr>
        <w:spacing w:after="0"/>
        <w:jc w:val="both"/>
        <w:rPr>
          <w:rFonts w:ascii="Arial" w:eastAsia="Calibri" w:hAnsi="Arial" w:cs="Arial"/>
          <w:sz w:val="20"/>
          <w:szCs w:val="20"/>
          <w:lang w:val="es-CO" w:eastAsia="es-ES"/>
        </w:rPr>
      </w:pPr>
    </w:p>
    <w:p w14:paraId="17DDC6C3" w14:textId="77777777" w:rsidR="009B04EB" w:rsidRPr="008574F3" w:rsidRDefault="009B04EB" w:rsidP="009B04EB">
      <w:pPr>
        <w:pStyle w:val="Prrafodelista"/>
        <w:numPr>
          <w:ilvl w:val="0"/>
          <w:numId w:val="1"/>
        </w:numPr>
        <w:spacing w:after="0"/>
        <w:jc w:val="both"/>
        <w:rPr>
          <w:rFonts w:ascii="Arial" w:eastAsia="Calibri" w:hAnsi="Arial" w:cs="Arial"/>
          <w:b/>
          <w:sz w:val="20"/>
          <w:szCs w:val="20"/>
          <w:lang w:val="es-CO" w:eastAsia="es-ES"/>
        </w:rPr>
      </w:pPr>
      <w:r w:rsidRPr="008574F3">
        <w:rPr>
          <w:rFonts w:ascii="Arial" w:eastAsia="Calibri" w:hAnsi="Arial" w:cs="Arial"/>
          <w:b/>
          <w:sz w:val="20"/>
          <w:szCs w:val="20"/>
          <w:lang w:val="es-CO" w:eastAsia="es-ES"/>
        </w:rPr>
        <w:t>ALCANCE DE LA AUDITORÍA</w:t>
      </w:r>
    </w:p>
    <w:p w14:paraId="321EEAE0" w14:textId="77777777" w:rsidR="009B04EB" w:rsidRPr="008574F3" w:rsidRDefault="009B04EB" w:rsidP="009B04EB">
      <w:pPr>
        <w:spacing w:after="0"/>
        <w:jc w:val="both"/>
        <w:rPr>
          <w:rFonts w:ascii="Arial" w:eastAsia="Calibri" w:hAnsi="Arial" w:cs="Arial"/>
          <w:sz w:val="20"/>
          <w:szCs w:val="20"/>
          <w:lang w:val="es-CO" w:eastAsia="es-ES"/>
        </w:rPr>
      </w:pPr>
    </w:p>
    <w:p w14:paraId="67256A84" w14:textId="77777777" w:rsidR="009B04EB" w:rsidRPr="008574F3" w:rsidRDefault="009B04EB" w:rsidP="009B04EB">
      <w:pPr>
        <w:spacing w:after="0"/>
        <w:jc w:val="both"/>
        <w:rPr>
          <w:rFonts w:ascii="Arial" w:eastAsia="Calibri" w:hAnsi="Arial" w:cs="Arial"/>
          <w:sz w:val="20"/>
          <w:szCs w:val="20"/>
          <w:lang w:val="es-CO" w:eastAsia="es-ES"/>
        </w:rPr>
      </w:pPr>
      <w:r w:rsidRPr="008574F3">
        <w:rPr>
          <w:rFonts w:ascii="Arial" w:eastAsia="Calibri" w:hAnsi="Arial" w:cs="Arial"/>
          <w:sz w:val="20"/>
          <w:szCs w:val="20"/>
          <w:lang w:val="es-CO" w:eastAsia="es-ES"/>
        </w:rPr>
        <w:t xml:space="preserve">Inicia con la recolección y análisis de la información obtenida por el Grupo Auditor de la Oficina de Control Interno de las fuentes identificadas y concluye con el informe final de auditoria.  En lo pertinente se auditan los resultados de los modelos de medición, riesgo, control y gestión. </w:t>
      </w:r>
    </w:p>
    <w:p w14:paraId="21742D4F" w14:textId="77777777" w:rsidR="009B04EB" w:rsidRPr="008574F3" w:rsidRDefault="009B04EB" w:rsidP="009B04EB">
      <w:pPr>
        <w:spacing w:after="0"/>
        <w:jc w:val="both"/>
        <w:rPr>
          <w:rFonts w:ascii="Arial" w:eastAsia="Calibri" w:hAnsi="Arial" w:cs="Arial"/>
          <w:sz w:val="20"/>
          <w:szCs w:val="20"/>
          <w:lang w:val="es-CO" w:eastAsia="es-ES"/>
        </w:rPr>
      </w:pPr>
    </w:p>
    <w:p w14:paraId="00FB03FF" w14:textId="77777777" w:rsidR="009B04EB" w:rsidRPr="008574F3" w:rsidRDefault="009B04EB" w:rsidP="009B04EB">
      <w:pPr>
        <w:pStyle w:val="Prrafodelista"/>
        <w:numPr>
          <w:ilvl w:val="0"/>
          <w:numId w:val="1"/>
        </w:numPr>
        <w:spacing w:after="0"/>
        <w:jc w:val="both"/>
        <w:rPr>
          <w:rFonts w:ascii="Arial" w:eastAsia="Calibri" w:hAnsi="Arial" w:cs="Arial"/>
          <w:b/>
          <w:sz w:val="20"/>
          <w:szCs w:val="20"/>
          <w:lang w:val="es-CO" w:eastAsia="es-ES"/>
        </w:rPr>
      </w:pPr>
      <w:r w:rsidRPr="008574F3">
        <w:rPr>
          <w:rFonts w:ascii="Arial" w:eastAsia="Calibri" w:hAnsi="Arial" w:cs="Arial"/>
          <w:b/>
          <w:sz w:val="20"/>
          <w:szCs w:val="20"/>
          <w:lang w:val="es-CO" w:eastAsia="es-ES"/>
        </w:rPr>
        <w:t>GESTIÓN DEL RIESGO AUDITOR</w:t>
      </w:r>
    </w:p>
    <w:p w14:paraId="38D50E60" w14:textId="77777777" w:rsidR="009B04EB" w:rsidRPr="008574F3" w:rsidRDefault="009B04EB" w:rsidP="009B04EB">
      <w:pPr>
        <w:spacing w:after="0"/>
        <w:jc w:val="both"/>
        <w:rPr>
          <w:rFonts w:ascii="Arial" w:eastAsia="Calibri" w:hAnsi="Arial" w:cs="Arial"/>
          <w:sz w:val="20"/>
          <w:szCs w:val="20"/>
          <w:lang w:val="es-CO" w:eastAsia="es-ES"/>
        </w:rPr>
      </w:pPr>
    </w:p>
    <w:p w14:paraId="60955051" w14:textId="77777777" w:rsidR="009B04EB" w:rsidRPr="008574F3" w:rsidRDefault="009B04EB" w:rsidP="009B04EB">
      <w:pPr>
        <w:spacing w:after="0"/>
        <w:jc w:val="both"/>
        <w:rPr>
          <w:rFonts w:ascii="Arial" w:eastAsia="Calibri" w:hAnsi="Arial" w:cs="Arial"/>
          <w:sz w:val="20"/>
          <w:szCs w:val="20"/>
          <w:lang w:val="es-CO" w:eastAsia="es-ES"/>
        </w:rPr>
      </w:pPr>
      <w:r w:rsidRPr="008574F3">
        <w:rPr>
          <w:rFonts w:ascii="Arial" w:eastAsia="Calibri" w:hAnsi="Arial" w:cs="Arial"/>
          <w:sz w:val="20"/>
          <w:szCs w:val="20"/>
          <w:lang w:val="es-CO" w:eastAsia="es-ES"/>
        </w:rPr>
        <w:t xml:space="preserve">Durante el desarrollo del proceso auditor se materializa el riesgo de flujo y calidad de la información, identificados en el Programa de Auditoria para la vigencia 2018.  El riesgo de flujo de información y calidad se materializa cuando se aplica el instrumento del sistema de control interno en donde el grupo auditado indica que realizan actividades y controles asociados al procedimiento auditado, al recibir dicha información se evidencia que se remite fuera de los plazos otorgados y adicional a esto se observa que no se encuentra completa de acuerdo con lo mencionado en dicha actividad, por lo cual el grupo auditor genera un correo adicional solicitando la misma. </w:t>
      </w:r>
    </w:p>
    <w:p w14:paraId="5B3717C1" w14:textId="77777777" w:rsidR="009B04EB" w:rsidRPr="008574F3" w:rsidRDefault="009B04EB" w:rsidP="009B04EB">
      <w:pPr>
        <w:spacing w:after="0"/>
        <w:jc w:val="both"/>
        <w:rPr>
          <w:rFonts w:ascii="Arial" w:eastAsia="Calibri" w:hAnsi="Arial" w:cs="Arial"/>
          <w:sz w:val="20"/>
          <w:szCs w:val="20"/>
          <w:lang w:val="es-CO" w:eastAsia="es-ES"/>
        </w:rPr>
      </w:pPr>
    </w:p>
    <w:p w14:paraId="6B972944" w14:textId="77777777" w:rsidR="009B04EB" w:rsidRPr="008574F3" w:rsidRDefault="009B04EB" w:rsidP="009B04EB">
      <w:pPr>
        <w:spacing w:after="0"/>
        <w:jc w:val="both"/>
        <w:rPr>
          <w:rFonts w:ascii="Arial" w:eastAsia="Calibri" w:hAnsi="Arial" w:cs="Arial"/>
          <w:sz w:val="20"/>
          <w:szCs w:val="20"/>
          <w:lang w:val="es-CO" w:eastAsia="es-ES"/>
        </w:rPr>
      </w:pPr>
      <w:r w:rsidRPr="008574F3">
        <w:rPr>
          <w:rFonts w:ascii="Arial" w:eastAsia="Calibri" w:hAnsi="Arial" w:cs="Arial"/>
          <w:sz w:val="20"/>
          <w:szCs w:val="20"/>
          <w:lang w:val="es-CO" w:eastAsia="es-ES"/>
        </w:rPr>
        <w:t>Por lo demás, el trabajo mancomunado con el auditado permite que el proceso se cumpla dentro de los plazos y cronogramas establecidos.</w:t>
      </w:r>
    </w:p>
    <w:p w14:paraId="211713F6" w14:textId="77777777" w:rsidR="009B04EB" w:rsidRPr="008574F3" w:rsidRDefault="009B04EB" w:rsidP="009B04EB">
      <w:pPr>
        <w:spacing w:after="0"/>
        <w:jc w:val="both"/>
        <w:rPr>
          <w:rFonts w:ascii="Arial" w:eastAsia="Calibri" w:hAnsi="Arial" w:cs="Arial"/>
          <w:sz w:val="20"/>
          <w:szCs w:val="20"/>
          <w:lang w:val="es-CO" w:eastAsia="es-ES"/>
        </w:rPr>
      </w:pPr>
    </w:p>
    <w:p w14:paraId="0D657A65" w14:textId="77777777" w:rsidR="009B04EB" w:rsidRPr="008574F3" w:rsidRDefault="009B04EB" w:rsidP="009B04EB">
      <w:pPr>
        <w:pStyle w:val="Prrafodelista"/>
        <w:numPr>
          <w:ilvl w:val="0"/>
          <w:numId w:val="1"/>
        </w:numPr>
        <w:spacing w:after="0"/>
        <w:jc w:val="both"/>
        <w:rPr>
          <w:rFonts w:ascii="Arial" w:eastAsia="Calibri" w:hAnsi="Arial" w:cs="Arial"/>
          <w:b/>
          <w:sz w:val="20"/>
          <w:szCs w:val="20"/>
          <w:lang w:val="es-CO" w:eastAsia="es-ES"/>
        </w:rPr>
      </w:pPr>
      <w:r w:rsidRPr="008574F3">
        <w:rPr>
          <w:rFonts w:ascii="Arial" w:eastAsia="Calibri" w:hAnsi="Arial" w:cs="Arial"/>
          <w:b/>
          <w:sz w:val="20"/>
          <w:szCs w:val="20"/>
          <w:lang w:val="es-CO" w:eastAsia="es-ES"/>
        </w:rPr>
        <w:t>METODOLOGIA UTILIZADA</w:t>
      </w:r>
    </w:p>
    <w:p w14:paraId="091526BF" w14:textId="77777777" w:rsidR="009B04EB" w:rsidRPr="008574F3" w:rsidRDefault="009B04EB" w:rsidP="009B04EB">
      <w:pPr>
        <w:spacing w:after="0"/>
        <w:jc w:val="both"/>
        <w:rPr>
          <w:rFonts w:ascii="Arial" w:eastAsia="Calibri" w:hAnsi="Arial" w:cs="Arial"/>
          <w:b/>
          <w:sz w:val="20"/>
          <w:szCs w:val="20"/>
          <w:lang w:val="es-CO" w:eastAsia="es-ES"/>
        </w:rPr>
      </w:pPr>
    </w:p>
    <w:p w14:paraId="0B7C2DC1" w14:textId="1FB65764" w:rsidR="009B04EB" w:rsidRPr="008574F3" w:rsidRDefault="009B04EB" w:rsidP="009B04EB">
      <w:pPr>
        <w:spacing w:after="0"/>
        <w:jc w:val="both"/>
        <w:rPr>
          <w:rFonts w:ascii="Arial" w:eastAsia="Calibri" w:hAnsi="Arial" w:cs="Arial"/>
          <w:sz w:val="20"/>
          <w:szCs w:val="20"/>
          <w:lang w:val="es-CO" w:eastAsia="es-ES"/>
        </w:rPr>
      </w:pPr>
      <w:r w:rsidRPr="008574F3">
        <w:rPr>
          <w:rFonts w:ascii="Arial" w:eastAsia="Calibri" w:hAnsi="Arial" w:cs="Arial"/>
          <w:sz w:val="20"/>
          <w:szCs w:val="20"/>
          <w:lang w:val="es-CO" w:eastAsia="es-ES"/>
        </w:rPr>
        <w:t>El Grupo de Auditoria de la Oficina de Control Interno para el desarrollo de la auditoria aplica la norma técnica colombiana NTC – ISO 19011 versión 2012-02-2</w:t>
      </w:r>
      <w:r w:rsidR="000F1967">
        <w:rPr>
          <w:rFonts w:ascii="Arial" w:eastAsia="Calibri" w:hAnsi="Arial" w:cs="Arial"/>
          <w:sz w:val="20"/>
          <w:szCs w:val="20"/>
          <w:lang w:val="es-CO" w:eastAsia="es-ES"/>
        </w:rPr>
        <w:t>2.  Igualmente se apoya en las r</w:t>
      </w:r>
      <w:r w:rsidRPr="008574F3">
        <w:rPr>
          <w:rFonts w:ascii="Arial" w:eastAsia="Calibri" w:hAnsi="Arial" w:cs="Arial"/>
          <w:sz w:val="20"/>
          <w:szCs w:val="20"/>
          <w:lang w:val="es-CO" w:eastAsia="es-ES"/>
        </w:rPr>
        <w:t xml:space="preserve">ecomendaciones que sobre el particular establece el Marco Internacional para la Práctica Profesional de la Auditoría Interna del Instituto de Auditores Interno de Colombia IIA, versión 2016. En los temas relacionados con aspectos financieros se usa la Norma Internacional de Auditoría, </w:t>
      </w:r>
      <w:proofErr w:type="spellStart"/>
      <w:r w:rsidRPr="008574F3">
        <w:rPr>
          <w:rFonts w:ascii="Arial" w:eastAsia="Calibri" w:hAnsi="Arial" w:cs="Arial"/>
          <w:sz w:val="20"/>
          <w:szCs w:val="20"/>
          <w:lang w:val="es-CO" w:eastAsia="es-ES"/>
        </w:rPr>
        <w:t>NIAs</w:t>
      </w:r>
      <w:proofErr w:type="spellEnd"/>
      <w:r w:rsidRPr="008574F3">
        <w:rPr>
          <w:rFonts w:ascii="Arial" w:eastAsia="Calibri" w:hAnsi="Arial" w:cs="Arial"/>
          <w:sz w:val="20"/>
          <w:szCs w:val="20"/>
          <w:lang w:val="es-CO" w:eastAsia="es-ES"/>
        </w:rPr>
        <w:t>.</w:t>
      </w:r>
    </w:p>
    <w:p w14:paraId="35F3F9B7" w14:textId="77777777" w:rsidR="009B04EB" w:rsidRPr="008574F3" w:rsidRDefault="009B04EB" w:rsidP="009B04EB">
      <w:pPr>
        <w:spacing w:after="0"/>
        <w:jc w:val="both"/>
        <w:rPr>
          <w:rFonts w:ascii="Arial" w:eastAsia="Calibri" w:hAnsi="Arial" w:cs="Arial"/>
          <w:b/>
          <w:sz w:val="20"/>
          <w:szCs w:val="20"/>
          <w:lang w:val="es-CO" w:eastAsia="es-ES"/>
        </w:rPr>
      </w:pPr>
    </w:p>
    <w:p w14:paraId="6BBFA896" w14:textId="77777777" w:rsidR="009B04EB" w:rsidRPr="008574F3" w:rsidRDefault="009B04EB" w:rsidP="009B04EB">
      <w:pPr>
        <w:pStyle w:val="Prrafodelista"/>
        <w:numPr>
          <w:ilvl w:val="0"/>
          <w:numId w:val="1"/>
        </w:numPr>
        <w:spacing w:after="0"/>
        <w:jc w:val="both"/>
        <w:rPr>
          <w:rFonts w:ascii="Arial" w:eastAsia="Calibri" w:hAnsi="Arial" w:cs="Arial"/>
          <w:b/>
          <w:sz w:val="20"/>
          <w:szCs w:val="20"/>
          <w:lang w:val="es-CO" w:eastAsia="es-ES"/>
        </w:rPr>
      </w:pPr>
      <w:r w:rsidRPr="008574F3">
        <w:rPr>
          <w:rFonts w:ascii="Arial" w:eastAsia="Calibri" w:hAnsi="Arial" w:cs="Arial"/>
          <w:b/>
          <w:sz w:val="20"/>
          <w:szCs w:val="20"/>
          <w:lang w:val="es-CO" w:eastAsia="es-ES"/>
        </w:rPr>
        <w:t>RESULTADOS DE LA AUDITORIA</w:t>
      </w:r>
    </w:p>
    <w:p w14:paraId="32B36ACB" w14:textId="77777777" w:rsidR="009B04EB" w:rsidRPr="008574F3" w:rsidRDefault="009B04EB" w:rsidP="009B04EB">
      <w:pPr>
        <w:spacing w:after="0"/>
        <w:jc w:val="both"/>
        <w:rPr>
          <w:rFonts w:ascii="Arial" w:eastAsia="Calibri" w:hAnsi="Arial" w:cs="Arial"/>
          <w:sz w:val="20"/>
          <w:szCs w:val="20"/>
          <w:lang w:val="es-CO" w:eastAsia="es-ES"/>
        </w:rPr>
      </w:pPr>
    </w:p>
    <w:p w14:paraId="2814C198" w14:textId="77777777" w:rsidR="009B04EB" w:rsidRPr="008574F3" w:rsidRDefault="009B04EB" w:rsidP="009B04EB">
      <w:pPr>
        <w:spacing w:after="0"/>
        <w:jc w:val="both"/>
        <w:rPr>
          <w:rFonts w:ascii="Arial" w:eastAsia="Calibri" w:hAnsi="Arial" w:cs="Arial"/>
          <w:sz w:val="20"/>
          <w:szCs w:val="20"/>
          <w:lang w:val="es-CO" w:eastAsia="es-ES"/>
        </w:rPr>
      </w:pPr>
      <w:r w:rsidRPr="008574F3">
        <w:rPr>
          <w:rFonts w:ascii="Arial" w:eastAsia="Calibri" w:hAnsi="Arial" w:cs="Arial"/>
          <w:sz w:val="20"/>
          <w:szCs w:val="20"/>
          <w:lang w:val="es-CO" w:eastAsia="es-ES"/>
        </w:rPr>
        <w:t xml:space="preserve">Antes de abordar los resultados del ejercicio auditor se hace necesario señalar la importancia que para la administración pública colombiana tiene la administración presupuestal. Desde las normas vigentes para la vigencia 2017 en materia del Modelo Estándar de Control Interno hasta el advenedizo Modelo Integrado de Planeación y Gestión (para finales de la anualidad citada y en adelante), el cual indica que el presupuesto es el instrumento esencial para la operación del Modelo, por lo cual debe estar acorde con los lineamientos que da el Ministerio de Hacienda, y lo establecido en el Estatuto Orgánico de Presupuesto Nacional. </w:t>
      </w:r>
    </w:p>
    <w:p w14:paraId="3F53A183" w14:textId="77777777" w:rsidR="009B04EB" w:rsidRPr="008574F3" w:rsidRDefault="009B04EB" w:rsidP="009B04EB">
      <w:pPr>
        <w:spacing w:after="0"/>
        <w:jc w:val="both"/>
        <w:rPr>
          <w:rFonts w:ascii="Arial" w:eastAsia="Calibri" w:hAnsi="Arial" w:cs="Arial"/>
          <w:sz w:val="20"/>
          <w:szCs w:val="20"/>
          <w:lang w:val="es-CO" w:eastAsia="es-ES"/>
        </w:rPr>
      </w:pPr>
    </w:p>
    <w:p w14:paraId="0667E866" w14:textId="77777777" w:rsidR="009B04EB" w:rsidRPr="008574F3" w:rsidRDefault="009B04EB" w:rsidP="009B04EB">
      <w:pPr>
        <w:spacing w:after="0"/>
        <w:jc w:val="both"/>
        <w:rPr>
          <w:rFonts w:ascii="Arial" w:eastAsia="Calibri" w:hAnsi="Arial" w:cs="Arial"/>
          <w:sz w:val="20"/>
          <w:szCs w:val="20"/>
          <w:lang w:val="es-CO" w:eastAsia="es-ES"/>
        </w:rPr>
      </w:pPr>
      <w:r w:rsidRPr="008574F3">
        <w:rPr>
          <w:rFonts w:ascii="Arial" w:eastAsia="Calibri" w:hAnsi="Arial" w:cs="Arial"/>
          <w:sz w:val="20"/>
          <w:szCs w:val="20"/>
          <w:lang w:val="es-CO" w:eastAsia="es-ES"/>
        </w:rPr>
        <w:t>De lo anterior se colige que los comentarios del Grupo Auditor se enmarcan en el espíritu de la mejora continua, en cuyo escenario la crítica es constructiva y propende por evidenciar potenciales fallas del sistema de control interno, que con el compromiso de todos y unas acciones de fondo se puede fortalecer y con ello contribuir a la misión y visión de la Unidad.</w:t>
      </w:r>
    </w:p>
    <w:p w14:paraId="5B4B414F" w14:textId="77777777" w:rsidR="009B04EB" w:rsidRPr="008574F3" w:rsidRDefault="009B04EB" w:rsidP="009B04EB">
      <w:pPr>
        <w:spacing w:after="0"/>
        <w:jc w:val="both"/>
        <w:rPr>
          <w:rFonts w:ascii="Arial" w:eastAsia="Calibri" w:hAnsi="Arial" w:cs="Arial"/>
          <w:sz w:val="20"/>
          <w:szCs w:val="20"/>
          <w:lang w:val="es-CO" w:eastAsia="es-ES"/>
        </w:rPr>
      </w:pPr>
    </w:p>
    <w:p w14:paraId="71154CA3" w14:textId="77777777" w:rsidR="009B04EB" w:rsidRPr="008574F3" w:rsidRDefault="009B04EB" w:rsidP="009B04EB">
      <w:pPr>
        <w:spacing w:after="0"/>
        <w:jc w:val="both"/>
        <w:rPr>
          <w:rFonts w:ascii="Arial" w:eastAsia="Calibri" w:hAnsi="Arial" w:cs="Arial"/>
          <w:b/>
          <w:sz w:val="20"/>
          <w:szCs w:val="20"/>
          <w:lang w:val="es-CO" w:eastAsia="es-ES"/>
        </w:rPr>
      </w:pPr>
      <w:r w:rsidRPr="008574F3">
        <w:rPr>
          <w:rFonts w:ascii="Arial" w:eastAsia="Calibri" w:hAnsi="Arial" w:cs="Arial"/>
          <w:b/>
          <w:sz w:val="20"/>
          <w:szCs w:val="20"/>
          <w:lang w:val="es-CO" w:eastAsia="es-ES"/>
        </w:rPr>
        <w:t>5.1</w:t>
      </w:r>
      <w:r w:rsidRPr="008574F3">
        <w:rPr>
          <w:rFonts w:ascii="Arial" w:eastAsia="Calibri" w:hAnsi="Arial" w:cs="Arial"/>
          <w:b/>
          <w:sz w:val="20"/>
          <w:szCs w:val="20"/>
          <w:lang w:val="es-CO" w:eastAsia="es-ES"/>
        </w:rPr>
        <w:tab/>
        <w:t>Análisis de los componentes mínimos del sistema de control interno</w:t>
      </w:r>
    </w:p>
    <w:p w14:paraId="5929FA5B" w14:textId="77777777" w:rsidR="009B04EB" w:rsidRPr="008574F3" w:rsidRDefault="009B04EB" w:rsidP="009B04EB">
      <w:pPr>
        <w:spacing w:after="0"/>
        <w:jc w:val="both"/>
        <w:rPr>
          <w:rFonts w:ascii="Arial" w:eastAsia="Calibri" w:hAnsi="Arial" w:cs="Arial"/>
          <w:b/>
          <w:sz w:val="20"/>
          <w:szCs w:val="20"/>
          <w:lang w:val="es-CO" w:eastAsia="es-ES"/>
        </w:rPr>
      </w:pPr>
    </w:p>
    <w:p w14:paraId="3A7659B0" w14:textId="77777777" w:rsidR="009B04EB" w:rsidRPr="008574F3" w:rsidRDefault="009B04EB" w:rsidP="009B04EB">
      <w:pPr>
        <w:spacing w:after="0"/>
        <w:jc w:val="both"/>
        <w:rPr>
          <w:rFonts w:ascii="Arial" w:eastAsia="Calibri" w:hAnsi="Arial" w:cs="Arial"/>
          <w:sz w:val="20"/>
          <w:szCs w:val="20"/>
          <w:lang w:val="es-CO" w:eastAsia="es-ES"/>
        </w:rPr>
      </w:pPr>
      <w:r w:rsidRPr="008574F3">
        <w:rPr>
          <w:rFonts w:ascii="Arial" w:eastAsia="Calibri" w:hAnsi="Arial" w:cs="Arial"/>
          <w:sz w:val="20"/>
          <w:szCs w:val="20"/>
          <w:lang w:val="es-CO" w:eastAsia="es-ES"/>
        </w:rPr>
        <w:t>El sistema de control interno contempla como mínimo la caracterización de procesos y procedimientos; mecanismos que materializan la gestión. El modelo de medición soportado en indicadores de gestión que dan cuenta de la evolución y logro de resultados del proceso. El mapa de riesgos, donde se identifican y administran los eventos que puedan impedir el logro de los objetivos. El modelo de control que se constituye en la herramienta gerencial que pretende minimizar la ocurrencia de eventos negativos o administrarlos y el esquema de seguimiento que sustenta el monitorea a las acciones, controles y decisiones que influyen en la gestión del proceso.</w:t>
      </w:r>
    </w:p>
    <w:p w14:paraId="695B8C9A" w14:textId="77777777" w:rsidR="009B04EB" w:rsidRPr="008574F3" w:rsidRDefault="009B04EB" w:rsidP="009B04EB">
      <w:pPr>
        <w:spacing w:after="0"/>
        <w:jc w:val="both"/>
        <w:rPr>
          <w:rFonts w:ascii="Arial" w:eastAsia="Calibri" w:hAnsi="Arial" w:cs="Arial"/>
          <w:sz w:val="20"/>
          <w:szCs w:val="20"/>
          <w:lang w:val="es-CO" w:eastAsia="es-ES"/>
        </w:rPr>
      </w:pPr>
    </w:p>
    <w:p w14:paraId="782DDDB6" w14:textId="77777777" w:rsidR="009B04EB" w:rsidRPr="008574F3" w:rsidRDefault="009B04EB" w:rsidP="009B04EB">
      <w:pPr>
        <w:spacing w:after="0"/>
        <w:jc w:val="both"/>
        <w:rPr>
          <w:rFonts w:ascii="Arial" w:eastAsia="Calibri" w:hAnsi="Arial" w:cs="Arial"/>
          <w:i/>
          <w:sz w:val="20"/>
          <w:szCs w:val="20"/>
          <w:lang w:val="es-CO" w:eastAsia="es-ES"/>
        </w:rPr>
      </w:pPr>
      <w:r w:rsidRPr="008574F3">
        <w:rPr>
          <w:rFonts w:ascii="Arial" w:eastAsia="Calibri" w:hAnsi="Arial" w:cs="Arial"/>
          <w:sz w:val="20"/>
          <w:szCs w:val="20"/>
          <w:lang w:val="es-CO" w:eastAsia="es-ES"/>
        </w:rPr>
        <w:lastRenderedPageBreak/>
        <w:t xml:space="preserve">Cuando los elementos del sistema de control interno interactúan y se gestionan contribuyen al logro del objetivo definido por la Unidad para el proceso de Gestión Financiera, que corresponde a </w:t>
      </w:r>
      <w:r w:rsidRPr="008574F3">
        <w:rPr>
          <w:rFonts w:ascii="Arial" w:eastAsia="Calibri" w:hAnsi="Arial" w:cs="Arial"/>
          <w:i/>
          <w:sz w:val="18"/>
          <w:szCs w:val="18"/>
          <w:lang w:val="es-CO" w:eastAsia="es-ES"/>
        </w:rPr>
        <w:t>“Coordinar, administrar y controlar el registro de las operaciones relacionadas con la ejecución del presupuesto, para el cumplimiento normativo del resultado del ejercicio financiero y contable”.</w:t>
      </w:r>
    </w:p>
    <w:p w14:paraId="129F934B" w14:textId="77777777" w:rsidR="009B04EB" w:rsidRPr="008574F3" w:rsidRDefault="009B04EB" w:rsidP="009B04EB">
      <w:pPr>
        <w:spacing w:after="0"/>
        <w:jc w:val="both"/>
        <w:rPr>
          <w:rFonts w:ascii="Arial" w:eastAsia="Calibri" w:hAnsi="Arial" w:cs="Arial"/>
          <w:b/>
          <w:sz w:val="20"/>
          <w:szCs w:val="20"/>
          <w:lang w:val="es-CO" w:eastAsia="es-ES"/>
        </w:rPr>
      </w:pPr>
    </w:p>
    <w:p w14:paraId="6E2037D0" w14:textId="77777777" w:rsidR="00EC51B7" w:rsidRPr="008574F3" w:rsidRDefault="00EC51B7" w:rsidP="009B04EB">
      <w:pPr>
        <w:spacing w:after="0"/>
        <w:jc w:val="both"/>
        <w:rPr>
          <w:rFonts w:ascii="Arial" w:eastAsia="Calibri" w:hAnsi="Arial" w:cs="Arial"/>
          <w:b/>
          <w:sz w:val="20"/>
          <w:szCs w:val="20"/>
          <w:lang w:val="es-CO" w:eastAsia="es-ES"/>
        </w:rPr>
      </w:pPr>
    </w:p>
    <w:p w14:paraId="0EE2679C" w14:textId="11BF2CA4" w:rsidR="009B04EB" w:rsidRPr="008574F3" w:rsidRDefault="009B04EB" w:rsidP="009B04EB">
      <w:pPr>
        <w:spacing w:after="0"/>
        <w:jc w:val="both"/>
        <w:rPr>
          <w:rFonts w:ascii="Arial" w:eastAsia="Calibri" w:hAnsi="Arial" w:cs="Arial"/>
          <w:b/>
          <w:sz w:val="20"/>
          <w:szCs w:val="20"/>
          <w:lang w:val="es-CO" w:eastAsia="es-ES"/>
        </w:rPr>
      </w:pPr>
      <w:r w:rsidRPr="008574F3">
        <w:rPr>
          <w:rFonts w:ascii="Arial" w:eastAsia="Calibri" w:hAnsi="Arial" w:cs="Arial"/>
          <w:b/>
          <w:sz w:val="20"/>
          <w:szCs w:val="20"/>
          <w:lang w:val="es-CO" w:eastAsia="es-ES"/>
        </w:rPr>
        <w:t>5.1.1</w:t>
      </w:r>
      <w:r w:rsidRPr="008574F3">
        <w:rPr>
          <w:rFonts w:ascii="Arial" w:eastAsia="Calibri" w:hAnsi="Arial" w:cs="Arial"/>
          <w:b/>
          <w:sz w:val="20"/>
          <w:szCs w:val="20"/>
          <w:lang w:val="es-CO" w:eastAsia="es-ES"/>
        </w:rPr>
        <w:tab/>
        <w:t>Caracterización del proceso y los procedimientos</w:t>
      </w:r>
    </w:p>
    <w:p w14:paraId="1EAD8A77" w14:textId="77777777" w:rsidR="009B04EB" w:rsidRPr="008574F3" w:rsidRDefault="009B04EB" w:rsidP="009B04EB">
      <w:pPr>
        <w:spacing w:after="0"/>
        <w:jc w:val="both"/>
        <w:rPr>
          <w:rFonts w:ascii="Arial" w:eastAsia="Calibri" w:hAnsi="Arial" w:cs="Arial"/>
          <w:sz w:val="20"/>
          <w:szCs w:val="20"/>
          <w:lang w:val="es-CO" w:eastAsia="es-ES"/>
        </w:rPr>
      </w:pPr>
    </w:p>
    <w:p w14:paraId="02A5B2F4" w14:textId="77777777" w:rsidR="009B04EB" w:rsidRPr="008574F3" w:rsidRDefault="009B04EB" w:rsidP="009B04EB">
      <w:pPr>
        <w:spacing w:after="0"/>
        <w:jc w:val="both"/>
        <w:rPr>
          <w:rFonts w:ascii="Arial" w:eastAsia="Calibri" w:hAnsi="Arial" w:cs="Arial"/>
          <w:sz w:val="20"/>
          <w:szCs w:val="20"/>
          <w:lang w:val="es-CO" w:eastAsia="es-ES"/>
        </w:rPr>
      </w:pPr>
      <w:r w:rsidRPr="008574F3">
        <w:rPr>
          <w:rFonts w:ascii="Arial" w:eastAsia="Calibri" w:hAnsi="Arial" w:cs="Arial"/>
          <w:sz w:val="20"/>
          <w:szCs w:val="20"/>
          <w:lang w:val="es-CO" w:eastAsia="es-ES"/>
        </w:rPr>
        <w:t>El Gobierno Nacional adoptó el Modelo Estándar de Control Interno (en adelante MECI)</w:t>
      </w:r>
      <w:r w:rsidRPr="008574F3">
        <w:rPr>
          <w:rStyle w:val="Refdenotaalpie"/>
          <w:rFonts w:ascii="Arial" w:eastAsia="Calibri" w:hAnsi="Arial" w:cs="Arial"/>
          <w:sz w:val="20"/>
          <w:szCs w:val="20"/>
          <w:lang w:val="es-CO" w:eastAsia="es-ES"/>
        </w:rPr>
        <w:footnoteReference w:id="1"/>
      </w:r>
      <w:r w:rsidRPr="008574F3">
        <w:rPr>
          <w:rFonts w:ascii="Arial" w:eastAsia="Calibri" w:hAnsi="Arial" w:cs="Arial"/>
          <w:sz w:val="20"/>
          <w:szCs w:val="20"/>
          <w:lang w:val="es-CO" w:eastAsia="es-ES"/>
        </w:rPr>
        <w:t>, que fue actualizado en el año 2014 y posteriormente en el 2017</w:t>
      </w:r>
      <w:r w:rsidRPr="008574F3">
        <w:rPr>
          <w:rStyle w:val="Refdenotaalpie"/>
          <w:rFonts w:ascii="Arial" w:eastAsia="Calibri" w:hAnsi="Arial" w:cs="Arial"/>
          <w:sz w:val="20"/>
          <w:szCs w:val="20"/>
          <w:lang w:val="es-CO" w:eastAsia="es-ES"/>
        </w:rPr>
        <w:footnoteReference w:id="2"/>
      </w:r>
      <w:r w:rsidRPr="008574F3">
        <w:rPr>
          <w:rFonts w:ascii="Arial" w:eastAsia="Calibri" w:hAnsi="Arial" w:cs="Arial"/>
          <w:sz w:val="20"/>
          <w:szCs w:val="20"/>
          <w:lang w:val="es-CO" w:eastAsia="es-ES"/>
        </w:rPr>
        <w:t>. En este escenario, el Modelo Integrado de Planeación y Gestión dispone que el trabajo por procesos es “</w:t>
      </w:r>
      <w:r w:rsidRPr="008574F3">
        <w:rPr>
          <w:rFonts w:ascii="Arial" w:eastAsia="Calibri" w:hAnsi="Arial" w:cs="Arial"/>
          <w:i/>
          <w:sz w:val="20"/>
          <w:szCs w:val="20"/>
          <w:lang w:val="es-CO" w:eastAsia="es-ES"/>
        </w:rPr>
        <w:t>La secuencia ordenada de actividades, interrelacionadas, para crear valor, deben tener en cuenta que el ciudadano es el eje fundamental de la gestión pública (CLAD: 2008). Los procesos se pueden clasificar en estratégicos, misionales, de apoyo y de evaluación, lo que permitirá la adecuada gestión y prestación del servicio de la organización”</w:t>
      </w:r>
      <w:r w:rsidRPr="008574F3">
        <w:rPr>
          <w:rStyle w:val="Refdenotaalpie"/>
          <w:rFonts w:ascii="Arial" w:eastAsia="Calibri" w:hAnsi="Arial" w:cs="Arial"/>
          <w:sz w:val="20"/>
          <w:szCs w:val="20"/>
          <w:lang w:val="es-CO" w:eastAsia="es-ES"/>
        </w:rPr>
        <w:footnoteReference w:id="3"/>
      </w:r>
      <w:r w:rsidRPr="008574F3">
        <w:rPr>
          <w:rFonts w:ascii="Arial" w:eastAsia="Calibri" w:hAnsi="Arial" w:cs="Arial"/>
          <w:sz w:val="20"/>
          <w:szCs w:val="20"/>
          <w:lang w:val="es-CO" w:eastAsia="es-ES"/>
        </w:rPr>
        <w:t>.</w:t>
      </w:r>
    </w:p>
    <w:p w14:paraId="29CEE534" w14:textId="77777777" w:rsidR="009B04EB" w:rsidRPr="008574F3" w:rsidRDefault="009B04EB" w:rsidP="009B04EB">
      <w:pPr>
        <w:spacing w:after="0"/>
        <w:jc w:val="both"/>
        <w:rPr>
          <w:rFonts w:ascii="Arial" w:eastAsia="Calibri" w:hAnsi="Arial" w:cs="Arial"/>
          <w:sz w:val="20"/>
          <w:szCs w:val="20"/>
          <w:lang w:val="es-CO" w:eastAsia="es-ES"/>
        </w:rPr>
      </w:pPr>
    </w:p>
    <w:p w14:paraId="013BB5F7" w14:textId="77777777" w:rsidR="009B04EB" w:rsidRPr="008574F3" w:rsidRDefault="009B04EB" w:rsidP="009B04EB">
      <w:pPr>
        <w:spacing w:after="0"/>
        <w:jc w:val="both"/>
        <w:rPr>
          <w:rFonts w:ascii="Arial" w:eastAsia="Calibri" w:hAnsi="Arial" w:cs="Arial"/>
          <w:sz w:val="20"/>
          <w:szCs w:val="20"/>
          <w:lang w:val="es-CO" w:eastAsia="es-ES"/>
        </w:rPr>
      </w:pPr>
      <w:r w:rsidRPr="008574F3">
        <w:rPr>
          <w:rFonts w:ascii="Arial" w:eastAsia="Calibri" w:hAnsi="Arial" w:cs="Arial"/>
          <w:sz w:val="20"/>
          <w:szCs w:val="20"/>
          <w:lang w:val="es-CO" w:eastAsia="es-ES"/>
        </w:rPr>
        <w:t>Examinada la caracterización del proceso y procedimientos publicados en la página web de la Unidad se tiene la siguiente tabla:</w:t>
      </w:r>
    </w:p>
    <w:p w14:paraId="6AC08671" w14:textId="77777777" w:rsidR="009B04EB" w:rsidRPr="008574F3" w:rsidRDefault="009B04EB" w:rsidP="009B04EB">
      <w:pPr>
        <w:spacing w:after="0"/>
        <w:jc w:val="center"/>
        <w:rPr>
          <w:rFonts w:ascii="Arial" w:eastAsia="Calibri" w:hAnsi="Arial" w:cs="Arial"/>
          <w:sz w:val="20"/>
          <w:szCs w:val="20"/>
          <w:lang w:val="es-CO" w:eastAsia="es-ES"/>
        </w:rPr>
      </w:pPr>
      <w:r w:rsidRPr="008574F3">
        <w:rPr>
          <w:rFonts w:ascii="Arial" w:eastAsia="Calibri" w:hAnsi="Arial" w:cs="Arial"/>
          <w:noProof/>
          <w:sz w:val="20"/>
          <w:szCs w:val="20"/>
          <w:lang w:eastAsia="es-ES"/>
        </w:rPr>
        <w:drawing>
          <wp:inline distT="0" distB="0" distL="0" distR="0" wp14:anchorId="5EE07483" wp14:editId="499244B4">
            <wp:extent cx="5572125" cy="1838325"/>
            <wp:effectExtent l="0" t="0" r="9525"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1053" r="943" b="3155"/>
                    <a:stretch/>
                  </pic:blipFill>
                  <pic:spPr bwMode="auto">
                    <a:xfrm>
                      <a:off x="0" y="0"/>
                      <a:ext cx="5581137" cy="1841298"/>
                    </a:xfrm>
                    <a:prstGeom prst="rect">
                      <a:avLst/>
                    </a:prstGeom>
                    <a:noFill/>
                    <a:ln>
                      <a:noFill/>
                    </a:ln>
                    <a:extLst>
                      <a:ext uri="{53640926-AAD7-44D8-BBD7-CCE9431645EC}">
                        <a14:shadowObscured xmlns:a14="http://schemas.microsoft.com/office/drawing/2010/main"/>
                      </a:ext>
                    </a:extLst>
                  </pic:spPr>
                </pic:pic>
              </a:graphicData>
            </a:graphic>
          </wp:inline>
        </w:drawing>
      </w:r>
    </w:p>
    <w:p w14:paraId="76F2825A" w14:textId="77777777" w:rsidR="009B04EB" w:rsidRPr="008574F3" w:rsidRDefault="009B04EB" w:rsidP="009B04EB">
      <w:pPr>
        <w:spacing w:after="0"/>
        <w:jc w:val="both"/>
        <w:rPr>
          <w:rFonts w:ascii="Arial" w:eastAsia="Calibri" w:hAnsi="Arial" w:cs="Arial"/>
          <w:sz w:val="20"/>
          <w:szCs w:val="20"/>
          <w:lang w:val="es-CO" w:eastAsia="es-ES"/>
        </w:rPr>
      </w:pPr>
    </w:p>
    <w:p w14:paraId="507FB22D" w14:textId="77777777" w:rsidR="009B04EB" w:rsidRPr="008574F3" w:rsidRDefault="009B04EB" w:rsidP="009B04EB">
      <w:pPr>
        <w:spacing w:after="0"/>
        <w:jc w:val="both"/>
        <w:rPr>
          <w:rFonts w:ascii="Arial" w:eastAsia="Calibri" w:hAnsi="Arial" w:cs="Arial"/>
          <w:sz w:val="20"/>
          <w:szCs w:val="20"/>
          <w:lang w:val="es-CO" w:eastAsia="es-ES"/>
        </w:rPr>
      </w:pPr>
      <w:r w:rsidRPr="008574F3">
        <w:rPr>
          <w:rFonts w:ascii="Arial" w:eastAsia="Calibri" w:hAnsi="Arial" w:cs="Arial"/>
          <w:sz w:val="20"/>
          <w:szCs w:val="20"/>
          <w:lang w:val="es-CO" w:eastAsia="es-ES"/>
        </w:rPr>
        <w:t xml:space="preserve">El proceso de Gestión Financiera - Administración Presupuestal tiene en la página web publicado tres (3) procedimientos que van encaminados al tema presupuestal y de pagos. Al analizar las fechas </w:t>
      </w:r>
      <w:r w:rsidRPr="008574F3">
        <w:rPr>
          <w:rFonts w:ascii="Arial" w:eastAsia="Calibri" w:hAnsi="Arial" w:cs="Arial"/>
          <w:sz w:val="20"/>
          <w:szCs w:val="20"/>
          <w:lang w:val="es-CO" w:eastAsia="es-ES"/>
        </w:rPr>
        <w:lastRenderedPageBreak/>
        <w:t>de estos instrumentos contra la del 19 de octubre de 2018 (fecha en la que se realiza el estudio) se obtiene:</w:t>
      </w:r>
    </w:p>
    <w:p w14:paraId="4DE34F60" w14:textId="77777777" w:rsidR="009B04EB" w:rsidRPr="008574F3" w:rsidRDefault="009B04EB" w:rsidP="009B04EB">
      <w:pPr>
        <w:spacing w:after="0"/>
        <w:jc w:val="both"/>
        <w:rPr>
          <w:rFonts w:ascii="Arial" w:eastAsia="Calibri" w:hAnsi="Arial" w:cs="Arial"/>
          <w:sz w:val="20"/>
          <w:szCs w:val="20"/>
          <w:lang w:val="es-CO" w:eastAsia="es-ES"/>
        </w:rPr>
      </w:pPr>
    </w:p>
    <w:p w14:paraId="2468E65A" w14:textId="77777777" w:rsidR="009B04EB" w:rsidRPr="008574F3" w:rsidRDefault="009B04EB" w:rsidP="009B04EB">
      <w:pPr>
        <w:pStyle w:val="Prrafodelista"/>
        <w:numPr>
          <w:ilvl w:val="0"/>
          <w:numId w:val="22"/>
        </w:numPr>
        <w:spacing w:after="0"/>
        <w:jc w:val="both"/>
        <w:rPr>
          <w:rFonts w:ascii="Arial" w:eastAsia="Calibri" w:hAnsi="Arial" w:cs="Arial"/>
          <w:sz w:val="20"/>
          <w:szCs w:val="20"/>
          <w:lang w:val="es-CO" w:eastAsia="es-ES"/>
        </w:rPr>
      </w:pPr>
      <w:r w:rsidRPr="008574F3">
        <w:rPr>
          <w:rFonts w:ascii="Arial" w:eastAsia="Calibri" w:hAnsi="Arial" w:cs="Arial"/>
          <w:sz w:val="20"/>
          <w:szCs w:val="20"/>
          <w:lang w:val="es-CO" w:eastAsia="es-ES"/>
        </w:rPr>
        <w:t>El 50% de los procedimientos (incluyendo la caracterización del proceso) están actualizados dentro del año inmediatamente anterior a la fecha del cálculo. En tanto, el 50% restante tiene más de 1.18 años de vigencia sin actualizar.</w:t>
      </w:r>
    </w:p>
    <w:p w14:paraId="6759C151" w14:textId="77777777" w:rsidR="009B04EB" w:rsidRPr="00CD5262" w:rsidRDefault="009B04EB" w:rsidP="00457C59">
      <w:pPr>
        <w:pStyle w:val="Prrafodelista"/>
        <w:spacing w:after="0"/>
        <w:ind w:left="1416"/>
        <w:jc w:val="both"/>
        <w:rPr>
          <w:rFonts w:ascii="Arial" w:eastAsia="Calibri" w:hAnsi="Arial" w:cs="Arial"/>
          <w:sz w:val="20"/>
          <w:szCs w:val="20"/>
          <w:highlight w:val="green"/>
          <w:lang w:val="es-CO" w:eastAsia="es-ES"/>
        </w:rPr>
      </w:pPr>
    </w:p>
    <w:p w14:paraId="795A2A39" w14:textId="77777777" w:rsidR="009B04EB" w:rsidRPr="008574F3" w:rsidRDefault="009B04EB" w:rsidP="009B04EB">
      <w:pPr>
        <w:pStyle w:val="Prrafodelista"/>
        <w:numPr>
          <w:ilvl w:val="0"/>
          <w:numId w:val="22"/>
        </w:numPr>
        <w:spacing w:after="0"/>
        <w:jc w:val="both"/>
        <w:rPr>
          <w:rFonts w:ascii="Arial" w:eastAsia="Calibri" w:hAnsi="Arial" w:cs="Arial"/>
          <w:sz w:val="20"/>
          <w:szCs w:val="20"/>
          <w:lang w:val="es-CO" w:eastAsia="es-ES"/>
        </w:rPr>
      </w:pPr>
      <w:r w:rsidRPr="008574F3">
        <w:rPr>
          <w:rFonts w:ascii="Arial" w:eastAsia="Calibri" w:hAnsi="Arial" w:cs="Arial"/>
          <w:sz w:val="20"/>
          <w:szCs w:val="20"/>
          <w:lang w:val="es-CO" w:eastAsia="es-ES"/>
        </w:rPr>
        <w:t>Sí se tiene como fecha ancla la caracterización del proceso de Gestión Financiera - Administración Presupuestal (13 de agosto de 2018), el 100% de los procedimientos no han sido actualizados a su posterioridad.</w:t>
      </w:r>
    </w:p>
    <w:p w14:paraId="1312B8D5" w14:textId="77777777" w:rsidR="009B04EB" w:rsidRPr="008574F3" w:rsidRDefault="009B04EB" w:rsidP="009B04EB">
      <w:pPr>
        <w:pStyle w:val="Prrafodelista"/>
        <w:spacing w:after="0"/>
        <w:jc w:val="both"/>
        <w:rPr>
          <w:rFonts w:ascii="Arial" w:eastAsia="Calibri" w:hAnsi="Arial" w:cs="Arial"/>
          <w:sz w:val="20"/>
          <w:szCs w:val="20"/>
          <w:lang w:val="es-CO" w:eastAsia="es-ES"/>
        </w:rPr>
      </w:pPr>
    </w:p>
    <w:p w14:paraId="50497B0D" w14:textId="5DDA2FDB" w:rsidR="009B04EB" w:rsidRPr="008574F3" w:rsidRDefault="009B04EB" w:rsidP="009B04EB">
      <w:pPr>
        <w:spacing w:after="0"/>
        <w:jc w:val="both"/>
        <w:rPr>
          <w:rFonts w:ascii="Arial" w:eastAsia="Calibri" w:hAnsi="Arial" w:cs="Arial"/>
          <w:sz w:val="20"/>
          <w:szCs w:val="20"/>
          <w:lang w:val="es-CO" w:eastAsia="es-ES"/>
        </w:rPr>
      </w:pPr>
      <w:bookmarkStart w:id="1" w:name="_Hlk529255934"/>
      <w:r w:rsidRPr="008574F3">
        <w:rPr>
          <w:rFonts w:ascii="Arial" w:eastAsia="Calibri" w:hAnsi="Arial" w:cs="Arial"/>
          <w:sz w:val="20"/>
          <w:szCs w:val="20"/>
          <w:lang w:val="es-CO" w:eastAsia="es-ES"/>
        </w:rPr>
        <w:t>La falta de actualización en los procesos y procedimientos es una debilidad del sistema de control interno del proceso de presupuesto porque son ellos los que determinan las líneas de quehacer institucional diario.  En e</w:t>
      </w:r>
      <w:r w:rsidR="007645DA" w:rsidRPr="008574F3">
        <w:rPr>
          <w:rFonts w:ascii="Arial" w:eastAsia="Calibri" w:hAnsi="Arial" w:cs="Arial"/>
          <w:sz w:val="20"/>
          <w:szCs w:val="20"/>
          <w:lang w:val="es-CO" w:eastAsia="es-ES"/>
        </w:rPr>
        <w:t>s</w:t>
      </w:r>
      <w:r w:rsidRPr="008574F3">
        <w:rPr>
          <w:rFonts w:ascii="Arial" w:eastAsia="Calibri" w:hAnsi="Arial" w:cs="Arial"/>
          <w:sz w:val="20"/>
          <w:szCs w:val="20"/>
          <w:lang w:val="es-CO" w:eastAsia="es-ES"/>
        </w:rPr>
        <w:t xml:space="preserve">ta medida el actuar del procedimiento no </w:t>
      </w:r>
      <w:r w:rsidR="007645DA" w:rsidRPr="008574F3">
        <w:rPr>
          <w:rFonts w:ascii="Arial" w:eastAsia="Calibri" w:hAnsi="Arial" w:cs="Arial"/>
          <w:sz w:val="20"/>
          <w:szCs w:val="20"/>
          <w:lang w:val="es-CO" w:eastAsia="es-ES"/>
        </w:rPr>
        <w:t>está</w:t>
      </w:r>
      <w:r w:rsidRPr="008574F3">
        <w:rPr>
          <w:rFonts w:ascii="Arial" w:eastAsia="Calibri" w:hAnsi="Arial" w:cs="Arial"/>
          <w:sz w:val="20"/>
          <w:szCs w:val="20"/>
          <w:lang w:val="es-CO" w:eastAsia="es-ES"/>
        </w:rPr>
        <w:t xml:space="preserve"> conforme con lo dispuesto en el inciso 1º del </w:t>
      </w:r>
      <w:r w:rsidR="007645DA" w:rsidRPr="008574F3">
        <w:rPr>
          <w:rFonts w:ascii="Arial" w:eastAsia="Calibri" w:hAnsi="Arial" w:cs="Arial"/>
          <w:sz w:val="20"/>
          <w:szCs w:val="20"/>
          <w:lang w:val="es-CO" w:eastAsia="es-ES"/>
        </w:rPr>
        <w:t xml:space="preserve">artículo </w:t>
      </w:r>
      <w:r w:rsidRPr="008574F3">
        <w:rPr>
          <w:rFonts w:ascii="Arial" w:eastAsia="Calibri" w:hAnsi="Arial" w:cs="Arial"/>
          <w:sz w:val="20"/>
          <w:szCs w:val="20"/>
          <w:lang w:val="es-CO" w:eastAsia="es-ES"/>
        </w:rPr>
        <w:t>1º, literales b) e i) del artículo 4º de la Ley 87 de 1993, lo señalado en el numeral III. Dimensiones Operativas de MIPG, al afirmar que “</w:t>
      </w:r>
      <w:r w:rsidRPr="008574F3">
        <w:rPr>
          <w:rFonts w:ascii="Arial" w:eastAsia="Calibri" w:hAnsi="Arial" w:cs="Arial"/>
          <w:i/>
          <w:sz w:val="18"/>
          <w:szCs w:val="18"/>
          <w:lang w:val="es-CO" w:eastAsia="es-ES"/>
        </w:rPr>
        <w:t>Una vez se tenga clara la ruta de acción y el horizonte al cual se quiere llegar, la entidad ejecuta las actividades planeadas para lograr los resultados y metas a través de procesos y procedimientos claros y una estructura organizacional adecuada, optimizando el uso de recursos y de las TIC, defendiendo jurídicamente sus actuaciones, llevando a cabo mejores procesos de producción normativa y protegiendo el ambiente</w:t>
      </w:r>
      <w:r w:rsidRPr="008574F3">
        <w:rPr>
          <w:rFonts w:ascii="Arial" w:eastAsia="Calibri" w:hAnsi="Arial" w:cs="Arial"/>
          <w:sz w:val="20"/>
          <w:szCs w:val="20"/>
          <w:lang w:val="es-CO" w:eastAsia="es-ES"/>
        </w:rPr>
        <w:t xml:space="preserve">”  Lo anterior aumenta el riesgo en la gestión en la medida que los procedimientos son descripciones esenciales para la actividad presupuestaria de la UARIV, siendo las potenciales causas el desconocimiento de las normas y metodologías que regulan la actualización de procesos y procedimientos o la falta de capacitación, seguimiento o acompañamiento de estos temas por parte de la dependencia rectora en esta materia </w:t>
      </w:r>
    </w:p>
    <w:bookmarkEnd w:id="1"/>
    <w:p w14:paraId="2E0279FD" w14:textId="77777777" w:rsidR="009B04EB" w:rsidRPr="008574F3" w:rsidRDefault="009B04EB" w:rsidP="009B04EB">
      <w:pPr>
        <w:spacing w:after="0"/>
        <w:jc w:val="both"/>
        <w:rPr>
          <w:rFonts w:ascii="Arial" w:eastAsia="Calibri" w:hAnsi="Arial" w:cs="Arial"/>
          <w:sz w:val="20"/>
          <w:szCs w:val="20"/>
          <w:lang w:val="es-CO" w:eastAsia="es-ES"/>
        </w:rPr>
      </w:pPr>
    </w:p>
    <w:p w14:paraId="300EB7B4" w14:textId="77777777" w:rsidR="009B04EB" w:rsidRPr="008574F3" w:rsidRDefault="009B04EB" w:rsidP="009B04EB">
      <w:pPr>
        <w:spacing w:after="0"/>
        <w:jc w:val="both"/>
        <w:rPr>
          <w:rFonts w:ascii="Arial" w:eastAsia="Calibri" w:hAnsi="Arial" w:cs="Arial"/>
          <w:b/>
          <w:sz w:val="20"/>
          <w:szCs w:val="20"/>
          <w:lang w:val="es-CO" w:eastAsia="es-ES"/>
        </w:rPr>
      </w:pPr>
      <w:r w:rsidRPr="008574F3">
        <w:rPr>
          <w:rFonts w:ascii="Arial" w:eastAsia="Calibri" w:hAnsi="Arial" w:cs="Arial"/>
          <w:b/>
          <w:sz w:val="20"/>
          <w:szCs w:val="20"/>
          <w:lang w:val="es-CO" w:eastAsia="es-ES"/>
        </w:rPr>
        <w:t>5.1.2</w:t>
      </w:r>
      <w:r w:rsidRPr="008574F3">
        <w:rPr>
          <w:rFonts w:ascii="Arial" w:eastAsia="Calibri" w:hAnsi="Arial" w:cs="Arial"/>
          <w:b/>
          <w:sz w:val="20"/>
          <w:szCs w:val="20"/>
          <w:lang w:val="es-CO" w:eastAsia="es-ES"/>
        </w:rPr>
        <w:tab/>
        <w:t>Indicadores de gestión</w:t>
      </w:r>
    </w:p>
    <w:p w14:paraId="3FAA313C" w14:textId="77777777" w:rsidR="009B04EB" w:rsidRPr="008574F3" w:rsidRDefault="009B04EB" w:rsidP="009B04EB">
      <w:pPr>
        <w:spacing w:after="0"/>
        <w:rPr>
          <w:rFonts w:ascii="Arial" w:hAnsi="Arial" w:cs="Arial"/>
          <w:b/>
          <w:sz w:val="20"/>
          <w:szCs w:val="20"/>
          <w:lang w:val="es-419"/>
        </w:rPr>
      </w:pPr>
    </w:p>
    <w:p w14:paraId="7F2F9127" w14:textId="77777777" w:rsidR="009B04EB" w:rsidRPr="008574F3" w:rsidRDefault="009B04EB" w:rsidP="009B04EB">
      <w:pPr>
        <w:spacing w:after="0"/>
        <w:jc w:val="both"/>
        <w:rPr>
          <w:rFonts w:ascii="Arial" w:eastAsia="Calibri" w:hAnsi="Arial" w:cs="Arial"/>
          <w:sz w:val="20"/>
          <w:szCs w:val="20"/>
          <w:lang w:val="es-CO" w:eastAsia="es-ES"/>
        </w:rPr>
      </w:pPr>
      <w:r w:rsidRPr="008574F3">
        <w:rPr>
          <w:rFonts w:ascii="Arial" w:eastAsia="Calibri" w:hAnsi="Arial" w:cs="Arial"/>
          <w:sz w:val="20"/>
          <w:szCs w:val="20"/>
          <w:lang w:val="es-CO" w:eastAsia="es-ES"/>
        </w:rPr>
        <w:t xml:space="preserve">El Equipo Auditor aplica a servidores seleccionados adscritos al proceso de Gestión Financiera - Administración Presupuestal la herramienta de percepción en la gestión de la medición, que tiene como propósito determinar el nivel de madurez de </w:t>
      </w:r>
      <w:proofErr w:type="gramStart"/>
      <w:r w:rsidRPr="008574F3">
        <w:rPr>
          <w:rFonts w:ascii="Arial" w:eastAsia="Calibri" w:hAnsi="Arial" w:cs="Arial"/>
          <w:sz w:val="20"/>
          <w:szCs w:val="20"/>
          <w:lang w:val="es-CO" w:eastAsia="es-ES"/>
        </w:rPr>
        <w:t>la misma</w:t>
      </w:r>
      <w:proofErr w:type="gramEnd"/>
      <w:r w:rsidRPr="008574F3">
        <w:rPr>
          <w:rFonts w:ascii="Arial" w:eastAsia="Calibri" w:hAnsi="Arial" w:cs="Arial"/>
          <w:sz w:val="20"/>
          <w:szCs w:val="20"/>
          <w:lang w:val="es-CO" w:eastAsia="es-ES"/>
        </w:rPr>
        <w:t xml:space="preserve"> mediante el análisis de indicadores. Los resultados obtenidos se muestran en la siguiente gráfica:</w:t>
      </w:r>
    </w:p>
    <w:p w14:paraId="698A1275" w14:textId="77777777" w:rsidR="00F0304C" w:rsidRPr="008574F3" w:rsidRDefault="00F0304C" w:rsidP="00F0304C">
      <w:pPr>
        <w:spacing w:after="0"/>
        <w:jc w:val="both"/>
        <w:rPr>
          <w:rFonts w:ascii="Arial" w:hAnsi="Arial" w:cs="Arial"/>
          <w:b/>
          <w:sz w:val="20"/>
          <w:szCs w:val="20"/>
          <w:lang w:val="es-419"/>
        </w:rPr>
      </w:pPr>
    </w:p>
    <w:p w14:paraId="70F2F6E8" w14:textId="77777777" w:rsidR="00F0304C" w:rsidRPr="008574F3" w:rsidRDefault="00B72BF8" w:rsidP="00F0304C">
      <w:pPr>
        <w:spacing w:after="0"/>
        <w:jc w:val="center"/>
        <w:rPr>
          <w:rFonts w:ascii="Arial" w:hAnsi="Arial" w:cs="Arial"/>
          <w:b/>
          <w:sz w:val="20"/>
          <w:szCs w:val="20"/>
          <w:lang w:val="es-419"/>
        </w:rPr>
      </w:pPr>
      <w:r w:rsidRPr="008574F3">
        <w:rPr>
          <w:rFonts w:ascii="Arial" w:hAnsi="Arial" w:cs="Arial"/>
          <w:noProof/>
          <w:sz w:val="20"/>
          <w:szCs w:val="20"/>
        </w:rPr>
        <w:t xml:space="preserve">   </w:t>
      </w:r>
      <w:r w:rsidR="00F0304C" w:rsidRPr="008574F3">
        <w:rPr>
          <w:rFonts w:ascii="Arial" w:hAnsi="Arial" w:cs="Arial"/>
          <w:noProof/>
          <w:sz w:val="20"/>
          <w:szCs w:val="20"/>
          <w:lang w:eastAsia="es-ES"/>
        </w:rPr>
        <w:drawing>
          <wp:inline distT="0" distB="0" distL="0" distR="0" wp14:anchorId="1FD0BB70" wp14:editId="57FB25FA">
            <wp:extent cx="5438775" cy="1551305"/>
            <wp:effectExtent l="0" t="0" r="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38775" cy="1551305"/>
                    </a:xfrm>
                    <a:prstGeom prst="rect">
                      <a:avLst/>
                    </a:prstGeom>
                  </pic:spPr>
                </pic:pic>
              </a:graphicData>
            </a:graphic>
          </wp:inline>
        </w:drawing>
      </w:r>
    </w:p>
    <w:p w14:paraId="33F70B68" w14:textId="77777777" w:rsidR="00F0304C" w:rsidRPr="008574F3" w:rsidRDefault="00605E87" w:rsidP="00F0304C">
      <w:pPr>
        <w:spacing w:after="0"/>
        <w:jc w:val="both"/>
        <w:rPr>
          <w:rFonts w:ascii="Arial" w:hAnsi="Arial" w:cs="Arial"/>
          <w:sz w:val="10"/>
          <w:szCs w:val="10"/>
          <w:lang w:val="es-419"/>
        </w:rPr>
      </w:pPr>
      <w:r w:rsidRPr="008574F3">
        <w:rPr>
          <w:rFonts w:ascii="Arial" w:hAnsi="Arial" w:cs="Arial"/>
          <w:sz w:val="10"/>
          <w:szCs w:val="10"/>
          <w:lang w:val="es-419"/>
        </w:rPr>
        <w:t xml:space="preserve">                        </w:t>
      </w:r>
      <w:r w:rsidR="00EC4DF0" w:rsidRPr="008574F3">
        <w:rPr>
          <w:rFonts w:ascii="Arial" w:hAnsi="Arial" w:cs="Arial"/>
          <w:sz w:val="10"/>
          <w:szCs w:val="10"/>
          <w:lang w:val="es-419"/>
        </w:rPr>
        <w:t xml:space="preserve"> </w:t>
      </w:r>
      <w:r w:rsidR="00237FAC" w:rsidRPr="008574F3">
        <w:rPr>
          <w:rFonts w:ascii="Arial" w:hAnsi="Arial" w:cs="Arial"/>
          <w:sz w:val="10"/>
          <w:szCs w:val="10"/>
          <w:lang w:val="es-419"/>
        </w:rPr>
        <w:t xml:space="preserve">      </w:t>
      </w:r>
      <w:r w:rsidR="00EC4DF0" w:rsidRPr="008574F3">
        <w:rPr>
          <w:rFonts w:ascii="Arial" w:hAnsi="Arial" w:cs="Arial"/>
          <w:sz w:val="10"/>
          <w:szCs w:val="10"/>
          <w:lang w:val="es-419"/>
        </w:rPr>
        <w:t xml:space="preserve"> </w:t>
      </w:r>
      <w:r w:rsidR="00872017" w:rsidRPr="008574F3">
        <w:rPr>
          <w:rFonts w:ascii="Arial" w:hAnsi="Arial" w:cs="Arial"/>
          <w:sz w:val="10"/>
          <w:szCs w:val="10"/>
          <w:lang w:val="es-419"/>
        </w:rPr>
        <w:t xml:space="preserve">          </w:t>
      </w:r>
      <w:r w:rsidR="00EC4DF0" w:rsidRPr="008574F3">
        <w:rPr>
          <w:rFonts w:ascii="Arial" w:hAnsi="Arial" w:cs="Arial"/>
          <w:sz w:val="10"/>
          <w:szCs w:val="10"/>
          <w:lang w:val="es-419"/>
        </w:rPr>
        <w:t xml:space="preserve"> </w:t>
      </w:r>
      <w:r w:rsidR="00872017" w:rsidRPr="008574F3">
        <w:rPr>
          <w:rFonts w:ascii="Arial" w:hAnsi="Arial" w:cs="Arial"/>
          <w:sz w:val="10"/>
          <w:szCs w:val="10"/>
          <w:lang w:val="es-419"/>
        </w:rPr>
        <w:t xml:space="preserve">      </w:t>
      </w:r>
      <w:r w:rsidRPr="008574F3">
        <w:rPr>
          <w:rFonts w:ascii="Arial" w:hAnsi="Arial" w:cs="Arial"/>
          <w:sz w:val="10"/>
          <w:szCs w:val="10"/>
          <w:lang w:val="es-419"/>
        </w:rPr>
        <w:t>Fuente: Equipo Auditor</w:t>
      </w:r>
    </w:p>
    <w:p w14:paraId="277D68A1" w14:textId="77777777" w:rsidR="00605E87" w:rsidRPr="008574F3" w:rsidRDefault="00605E87" w:rsidP="00F0304C">
      <w:pPr>
        <w:spacing w:after="0"/>
        <w:jc w:val="both"/>
        <w:rPr>
          <w:rFonts w:ascii="Arial" w:hAnsi="Arial" w:cs="Arial"/>
          <w:sz w:val="20"/>
          <w:szCs w:val="20"/>
          <w:lang w:val="es-419"/>
        </w:rPr>
      </w:pPr>
    </w:p>
    <w:p w14:paraId="1123A5C8" w14:textId="77777777" w:rsidR="00F0304C" w:rsidRPr="008574F3" w:rsidRDefault="00F0304C" w:rsidP="00F0304C">
      <w:pPr>
        <w:spacing w:after="0"/>
        <w:jc w:val="both"/>
        <w:rPr>
          <w:rFonts w:ascii="Arial" w:eastAsia="Calibri" w:hAnsi="Arial" w:cs="Arial"/>
          <w:i/>
          <w:sz w:val="20"/>
          <w:szCs w:val="20"/>
          <w:lang w:val="es-CO" w:eastAsia="es-ES"/>
        </w:rPr>
      </w:pPr>
      <w:r w:rsidRPr="008574F3">
        <w:rPr>
          <w:rFonts w:ascii="Arial" w:eastAsia="Calibri" w:hAnsi="Arial" w:cs="Arial"/>
          <w:sz w:val="20"/>
          <w:szCs w:val="20"/>
          <w:lang w:val="es-CO" w:eastAsia="es-ES"/>
        </w:rPr>
        <w:t>Del análisis de datos se tiene que los servidores consideran que la medición del proceso (batería de indicadores) está de acuerdo con las necesida</w:t>
      </w:r>
      <w:r w:rsidR="0068474D" w:rsidRPr="008574F3">
        <w:rPr>
          <w:rFonts w:ascii="Arial" w:eastAsia="Calibri" w:hAnsi="Arial" w:cs="Arial"/>
          <w:sz w:val="20"/>
          <w:szCs w:val="20"/>
          <w:lang w:val="es-CO" w:eastAsia="es-ES"/>
        </w:rPr>
        <w:t>des, dado que se ubica en el 85</w:t>
      </w:r>
      <w:r w:rsidRPr="008574F3">
        <w:rPr>
          <w:rFonts w:ascii="Arial" w:eastAsia="Calibri" w:hAnsi="Arial" w:cs="Arial"/>
          <w:sz w:val="20"/>
          <w:szCs w:val="20"/>
          <w:lang w:val="es-CO" w:eastAsia="es-ES"/>
        </w:rPr>
        <w:t>% del valor máximo posible en la escala de Likert</w:t>
      </w:r>
      <w:r w:rsidRPr="008574F3">
        <w:rPr>
          <w:rStyle w:val="Refdenotaalpie"/>
          <w:rFonts w:ascii="Arial" w:eastAsia="Calibri" w:hAnsi="Arial" w:cs="Arial"/>
          <w:sz w:val="20"/>
          <w:szCs w:val="20"/>
          <w:lang w:val="es-CO" w:eastAsia="es-ES"/>
        </w:rPr>
        <w:footnoteReference w:id="4"/>
      </w:r>
      <w:r w:rsidRPr="008574F3">
        <w:rPr>
          <w:rFonts w:ascii="Arial" w:eastAsia="Calibri" w:hAnsi="Arial" w:cs="Arial"/>
          <w:sz w:val="20"/>
          <w:szCs w:val="20"/>
          <w:lang w:val="es-CO" w:eastAsia="es-ES"/>
        </w:rPr>
        <w:t>, metodología utilizada en la herramienta de evaluac</w:t>
      </w:r>
      <w:r w:rsidR="0068474D" w:rsidRPr="008574F3">
        <w:rPr>
          <w:rFonts w:ascii="Arial" w:eastAsia="Calibri" w:hAnsi="Arial" w:cs="Arial"/>
          <w:sz w:val="20"/>
          <w:szCs w:val="20"/>
          <w:lang w:val="es-CO" w:eastAsia="es-ES"/>
        </w:rPr>
        <w:t xml:space="preserve">ión. Lo anterior </w:t>
      </w:r>
      <w:r w:rsidR="0068474D" w:rsidRPr="008574F3">
        <w:rPr>
          <w:rFonts w:ascii="Arial" w:eastAsia="Calibri" w:hAnsi="Arial" w:cs="Arial"/>
          <w:sz w:val="20"/>
          <w:szCs w:val="20"/>
          <w:lang w:val="es-CO" w:eastAsia="es-ES"/>
        </w:rPr>
        <w:lastRenderedPageBreak/>
        <w:t xml:space="preserve">significa que: </w:t>
      </w:r>
      <w:r w:rsidRPr="008574F3">
        <w:rPr>
          <w:rFonts w:ascii="Arial" w:eastAsia="Calibri" w:hAnsi="Arial" w:cs="Arial"/>
          <w:i/>
          <w:sz w:val="18"/>
          <w:szCs w:val="18"/>
          <w:lang w:val="es-CO" w:eastAsia="es-ES"/>
        </w:rPr>
        <w:t>“Hay evidencia de un sistema de medición en plena producción que sustenta la toma de decisiones, que es inherente al proceso, actualizado y socializado adecuadamente.”</w:t>
      </w:r>
    </w:p>
    <w:p w14:paraId="1F9BB377" w14:textId="77777777" w:rsidR="009B6452" w:rsidRPr="008574F3" w:rsidRDefault="009B6452" w:rsidP="00F0304C">
      <w:pPr>
        <w:spacing w:after="0"/>
        <w:jc w:val="both"/>
        <w:rPr>
          <w:rFonts w:ascii="Arial" w:eastAsia="Calibri" w:hAnsi="Arial" w:cs="Arial"/>
          <w:i/>
          <w:sz w:val="20"/>
          <w:szCs w:val="20"/>
          <w:lang w:val="es-CO" w:eastAsia="es-ES"/>
        </w:rPr>
      </w:pPr>
    </w:p>
    <w:p w14:paraId="33408C7C" w14:textId="77777777" w:rsidR="009B6452" w:rsidRPr="008574F3" w:rsidRDefault="009B6452" w:rsidP="00F0304C">
      <w:pPr>
        <w:spacing w:after="0"/>
        <w:jc w:val="both"/>
        <w:rPr>
          <w:rFonts w:ascii="Arial" w:eastAsia="Calibri" w:hAnsi="Arial" w:cs="Arial"/>
          <w:i/>
          <w:sz w:val="20"/>
          <w:szCs w:val="20"/>
          <w:lang w:val="es-CO" w:eastAsia="es-ES"/>
        </w:rPr>
      </w:pPr>
      <w:r w:rsidRPr="008574F3">
        <w:rPr>
          <w:rFonts w:ascii="Arial" w:eastAsia="Calibri" w:hAnsi="Arial" w:cs="Arial"/>
          <w:sz w:val="20"/>
          <w:szCs w:val="20"/>
          <w:lang w:val="es-CO" w:eastAsia="es-ES"/>
        </w:rPr>
        <w:t xml:space="preserve">El promedio de las 20 afirmaciones de las tres pruebas aplicadas a los funcionarios del proceso da como resultado 4.1 en una escala de 5/5.00 con una desviación estándar de 0.464 lo que evidencia que el proceso formula y hace seguimiento a mecanismos de medición mediante indicadores. </w:t>
      </w:r>
    </w:p>
    <w:p w14:paraId="4E5A49FC" w14:textId="77777777" w:rsidR="00F0304C" w:rsidRPr="008574F3" w:rsidRDefault="00F0304C" w:rsidP="00F0304C">
      <w:pPr>
        <w:spacing w:after="0"/>
        <w:jc w:val="both"/>
        <w:rPr>
          <w:rFonts w:ascii="Arial" w:eastAsia="Calibri" w:hAnsi="Arial" w:cs="Arial"/>
          <w:sz w:val="20"/>
          <w:szCs w:val="20"/>
          <w:lang w:val="es-CO" w:eastAsia="es-ES"/>
        </w:rPr>
      </w:pPr>
      <w:r w:rsidRPr="008574F3">
        <w:rPr>
          <w:rFonts w:ascii="Arial" w:eastAsia="Calibri" w:hAnsi="Arial" w:cs="Arial"/>
          <w:i/>
          <w:sz w:val="20"/>
          <w:szCs w:val="20"/>
          <w:lang w:val="es-CO" w:eastAsia="es-ES"/>
        </w:rPr>
        <w:tab/>
      </w:r>
      <w:r w:rsidRPr="008574F3">
        <w:rPr>
          <w:rFonts w:ascii="Arial" w:eastAsia="Calibri" w:hAnsi="Arial" w:cs="Arial"/>
          <w:i/>
          <w:sz w:val="20"/>
          <w:szCs w:val="20"/>
          <w:lang w:val="es-CO" w:eastAsia="es-ES"/>
        </w:rPr>
        <w:tab/>
      </w:r>
      <w:r w:rsidRPr="008574F3">
        <w:rPr>
          <w:rFonts w:ascii="Arial" w:eastAsia="Calibri" w:hAnsi="Arial" w:cs="Arial"/>
          <w:i/>
          <w:sz w:val="20"/>
          <w:szCs w:val="20"/>
          <w:lang w:val="es-CO" w:eastAsia="es-ES"/>
        </w:rPr>
        <w:tab/>
      </w:r>
      <w:r w:rsidRPr="008574F3">
        <w:rPr>
          <w:rFonts w:ascii="Arial" w:eastAsia="Calibri" w:hAnsi="Arial" w:cs="Arial"/>
          <w:i/>
          <w:sz w:val="20"/>
          <w:szCs w:val="20"/>
          <w:lang w:val="es-CO" w:eastAsia="es-ES"/>
        </w:rPr>
        <w:tab/>
      </w:r>
      <w:r w:rsidRPr="008574F3">
        <w:rPr>
          <w:rFonts w:ascii="Arial" w:eastAsia="Calibri" w:hAnsi="Arial" w:cs="Arial"/>
          <w:i/>
          <w:sz w:val="20"/>
          <w:szCs w:val="20"/>
          <w:lang w:val="es-CO" w:eastAsia="es-ES"/>
        </w:rPr>
        <w:tab/>
      </w:r>
      <w:r w:rsidRPr="008574F3">
        <w:rPr>
          <w:rFonts w:ascii="Arial" w:eastAsia="Calibri" w:hAnsi="Arial" w:cs="Arial"/>
          <w:i/>
          <w:sz w:val="20"/>
          <w:szCs w:val="20"/>
          <w:lang w:val="es-CO" w:eastAsia="es-ES"/>
        </w:rPr>
        <w:tab/>
      </w:r>
      <w:r w:rsidRPr="008574F3">
        <w:rPr>
          <w:rFonts w:ascii="Arial" w:eastAsia="Calibri" w:hAnsi="Arial" w:cs="Arial"/>
          <w:i/>
          <w:sz w:val="20"/>
          <w:szCs w:val="20"/>
          <w:lang w:val="es-CO" w:eastAsia="es-ES"/>
        </w:rPr>
        <w:tab/>
      </w:r>
      <w:r w:rsidRPr="008574F3">
        <w:rPr>
          <w:rFonts w:ascii="Arial" w:eastAsia="Calibri" w:hAnsi="Arial" w:cs="Arial"/>
          <w:i/>
          <w:sz w:val="20"/>
          <w:szCs w:val="20"/>
          <w:lang w:val="es-CO" w:eastAsia="es-ES"/>
        </w:rPr>
        <w:tab/>
      </w:r>
      <w:r w:rsidRPr="008574F3">
        <w:rPr>
          <w:rFonts w:ascii="Arial" w:eastAsia="Calibri" w:hAnsi="Arial" w:cs="Arial"/>
          <w:i/>
          <w:sz w:val="20"/>
          <w:szCs w:val="20"/>
          <w:lang w:val="es-CO" w:eastAsia="es-ES"/>
        </w:rPr>
        <w:tab/>
      </w:r>
      <w:r w:rsidRPr="008574F3">
        <w:rPr>
          <w:rFonts w:ascii="Arial" w:eastAsia="Calibri" w:hAnsi="Arial" w:cs="Arial"/>
          <w:i/>
          <w:sz w:val="20"/>
          <w:szCs w:val="20"/>
          <w:lang w:val="es-CO" w:eastAsia="es-ES"/>
        </w:rPr>
        <w:tab/>
      </w:r>
      <w:r w:rsidRPr="008574F3">
        <w:rPr>
          <w:rFonts w:ascii="Arial" w:eastAsia="Calibri" w:hAnsi="Arial" w:cs="Arial"/>
          <w:sz w:val="20"/>
          <w:szCs w:val="20"/>
          <w:lang w:val="es-CO" w:eastAsia="es-ES"/>
        </w:rPr>
        <w:tab/>
      </w:r>
      <w:r w:rsidRPr="008574F3">
        <w:rPr>
          <w:rFonts w:ascii="Arial" w:eastAsia="Calibri" w:hAnsi="Arial" w:cs="Arial"/>
          <w:sz w:val="20"/>
          <w:szCs w:val="20"/>
          <w:lang w:val="es-CO" w:eastAsia="es-ES"/>
        </w:rPr>
        <w:tab/>
      </w:r>
    </w:p>
    <w:p w14:paraId="78D539AF" w14:textId="0DC7539D" w:rsidR="00F0304C" w:rsidRPr="008574F3" w:rsidRDefault="00F0304C" w:rsidP="00F0304C">
      <w:pPr>
        <w:spacing w:after="0"/>
        <w:jc w:val="both"/>
        <w:rPr>
          <w:rFonts w:ascii="Arial" w:hAnsi="Arial" w:cs="Arial"/>
          <w:sz w:val="20"/>
          <w:szCs w:val="20"/>
          <w:lang w:val="es-419"/>
        </w:rPr>
      </w:pPr>
      <w:r w:rsidRPr="008574F3">
        <w:rPr>
          <w:rFonts w:ascii="Arial" w:hAnsi="Arial" w:cs="Arial"/>
          <w:sz w:val="20"/>
          <w:szCs w:val="20"/>
          <w:lang w:val="es-419"/>
        </w:rPr>
        <w:t xml:space="preserve">El </w:t>
      </w:r>
      <w:r w:rsidR="00FD6AF4" w:rsidRPr="008574F3">
        <w:rPr>
          <w:rFonts w:ascii="Arial" w:hAnsi="Arial" w:cs="Arial"/>
          <w:sz w:val="20"/>
          <w:szCs w:val="20"/>
          <w:lang w:val="es-419"/>
        </w:rPr>
        <w:t>E</w:t>
      </w:r>
      <w:r w:rsidRPr="008574F3">
        <w:rPr>
          <w:rFonts w:ascii="Arial" w:hAnsi="Arial" w:cs="Arial"/>
          <w:sz w:val="20"/>
          <w:szCs w:val="20"/>
          <w:lang w:val="es-419"/>
        </w:rPr>
        <w:t xml:space="preserve">quipo </w:t>
      </w:r>
      <w:r w:rsidR="00FD6AF4" w:rsidRPr="008574F3">
        <w:rPr>
          <w:rFonts w:ascii="Arial" w:hAnsi="Arial" w:cs="Arial"/>
          <w:sz w:val="20"/>
          <w:szCs w:val="20"/>
          <w:lang w:val="es-419"/>
        </w:rPr>
        <w:t>A</w:t>
      </w:r>
      <w:r w:rsidRPr="008574F3">
        <w:rPr>
          <w:rFonts w:ascii="Arial" w:hAnsi="Arial" w:cs="Arial"/>
          <w:sz w:val="20"/>
          <w:szCs w:val="20"/>
          <w:lang w:val="es-419"/>
        </w:rPr>
        <w:t>uditor identifica que al consultar el ap</w:t>
      </w:r>
      <w:r w:rsidR="0068474D" w:rsidRPr="008574F3">
        <w:rPr>
          <w:rFonts w:ascii="Arial" w:hAnsi="Arial" w:cs="Arial"/>
          <w:sz w:val="20"/>
          <w:szCs w:val="20"/>
          <w:lang w:val="es-419"/>
        </w:rPr>
        <w:t>licativo SISGESTIÓN</w:t>
      </w:r>
      <w:r w:rsidR="007B56E6" w:rsidRPr="008574F3">
        <w:rPr>
          <w:rFonts w:ascii="Arial" w:hAnsi="Arial" w:cs="Arial"/>
          <w:sz w:val="20"/>
          <w:szCs w:val="20"/>
          <w:lang w:val="es-419"/>
        </w:rPr>
        <w:t xml:space="preserve"> vigencia</w:t>
      </w:r>
      <w:r w:rsidR="0068474D" w:rsidRPr="008574F3">
        <w:rPr>
          <w:rFonts w:ascii="Arial" w:hAnsi="Arial" w:cs="Arial"/>
          <w:sz w:val="20"/>
          <w:szCs w:val="20"/>
          <w:lang w:val="es-419"/>
        </w:rPr>
        <w:t xml:space="preserve"> 2018</w:t>
      </w:r>
      <w:r w:rsidR="007B56E6" w:rsidRPr="008574F3">
        <w:rPr>
          <w:rFonts w:ascii="Arial" w:hAnsi="Arial" w:cs="Arial"/>
          <w:sz w:val="20"/>
          <w:szCs w:val="20"/>
          <w:lang w:val="es-419"/>
        </w:rPr>
        <w:t>,</w:t>
      </w:r>
      <w:r w:rsidRPr="008574F3">
        <w:rPr>
          <w:rFonts w:ascii="Arial" w:hAnsi="Arial" w:cs="Arial"/>
          <w:sz w:val="20"/>
          <w:szCs w:val="20"/>
          <w:lang w:val="es-419"/>
        </w:rPr>
        <w:t xml:space="preserve"> el </w:t>
      </w:r>
      <w:r w:rsidR="00FD6AF4" w:rsidRPr="008574F3">
        <w:rPr>
          <w:rFonts w:ascii="Arial" w:hAnsi="Arial" w:cs="Arial"/>
          <w:sz w:val="20"/>
          <w:szCs w:val="20"/>
          <w:lang w:val="es-419"/>
        </w:rPr>
        <w:t>proceso auditado</w:t>
      </w:r>
      <w:r w:rsidRPr="008574F3">
        <w:rPr>
          <w:rFonts w:ascii="Arial" w:hAnsi="Arial" w:cs="Arial"/>
          <w:sz w:val="20"/>
          <w:szCs w:val="20"/>
          <w:lang w:val="es-419"/>
        </w:rPr>
        <w:t xml:space="preserve"> en cuanto a la formulación y seguimiento de in</w:t>
      </w:r>
      <w:r w:rsidR="0068474D" w:rsidRPr="008574F3">
        <w:rPr>
          <w:rFonts w:ascii="Arial" w:hAnsi="Arial" w:cs="Arial"/>
          <w:sz w:val="20"/>
          <w:szCs w:val="20"/>
          <w:lang w:val="es-419"/>
        </w:rPr>
        <w:t xml:space="preserve">dicadores </w:t>
      </w:r>
      <w:r w:rsidR="007B56E6" w:rsidRPr="008574F3">
        <w:rPr>
          <w:rFonts w:ascii="Arial" w:hAnsi="Arial" w:cs="Arial"/>
          <w:sz w:val="20"/>
          <w:szCs w:val="20"/>
          <w:lang w:val="es-419"/>
        </w:rPr>
        <w:t>de</w:t>
      </w:r>
      <w:r w:rsidR="0068474D" w:rsidRPr="008574F3">
        <w:rPr>
          <w:rFonts w:ascii="Arial" w:hAnsi="Arial" w:cs="Arial"/>
          <w:sz w:val="20"/>
          <w:szCs w:val="20"/>
          <w:lang w:val="es-419"/>
        </w:rPr>
        <w:t>l Plan de Acción cuenta con la</w:t>
      </w:r>
      <w:r w:rsidRPr="008574F3">
        <w:rPr>
          <w:rFonts w:ascii="Arial" w:hAnsi="Arial" w:cs="Arial"/>
          <w:sz w:val="20"/>
          <w:szCs w:val="20"/>
          <w:lang w:val="es-419"/>
        </w:rPr>
        <w:t>s siguientes acciones aso</w:t>
      </w:r>
      <w:r w:rsidR="007B56E6" w:rsidRPr="008574F3">
        <w:rPr>
          <w:rFonts w:ascii="Arial" w:hAnsi="Arial" w:cs="Arial"/>
          <w:sz w:val="20"/>
          <w:szCs w:val="20"/>
          <w:lang w:val="es-419"/>
        </w:rPr>
        <w:t xml:space="preserve">ciadas al indicador táctico </w:t>
      </w:r>
      <w:r w:rsidRPr="008574F3">
        <w:rPr>
          <w:rFonts w:ascii="Arial" w:hAnsi="Arial" w:cs="Arial"/>
          <w:sz w:val="20"/>
          <w:szCs w:val="20"/>
          <w:lang w:val="es-419"/>
        </w:rPr>
        <w:t>10</w:t>
      </w:r>
      <w:r w:rsidR="007B56E6" w:rsidRPr="008574F3">
        <w:rPr>
          <w:rFonts w:ascii="Arial" w:hAnsi="Arial" w:cs="Arial"/>
          <w:sz w:val="20"/>
          <w:szCs w:val="20"/>
          <w:lang w:val="es-419"/>
        </w:rPr>
        <w:t xml:space="preserve">665 del Plan de Acción, </w:t>
      </w:r>
      <w:r w:rsidR="00EC4DF0" w:rsidRPr="008574F3">
        <w:rPr>
          <w:rFonts w:ascii="Arial" w:hAnsi="Arial" w:cs="Arial"/>
          <w:sz w:val="20"/>
          <w:szCs w:val="20"/>
          <w:lang w:val="es-419"/>
        </w:rPr>
        <w:t>Grupo de Gestión F</w:t>
      </w:r>
      <w:r w:rsidR="007B56E6" w:rsidRPr="008574F3">
        <w:rPr>
          <w:rFonts w:ascii="Arial" w:hAnsi="Arial" w:cs="Arial"/>
          <w:sz w:val="20"/>
          <w:szCs w:val="20"/>
          <w:lang w:val="es-419"/>
        </w:rPr>
        <w:t xml:space="preserve">inanciera implementado, así: </w:t>
      </w:r>
    </w:p>
    <w:p w14:paraId="2712F96B" w14:textId="77777777" w:rsidR="00F0304C" w:rsidRPr="008574F3" w:rsidRDefault="00F0304C" w:rsidP="00F0304C">
      <w:pPr>
        <w:spacing w:after="0"/>
        <w:jc w:val="both"/>
        <w:rPr>
          <w:rFonts w:ascii="Arial" w:hAnsi="Arial" w:cs="Arial"/>
          <w:sz w:val="20"/>
          <w:szCs w:val="20"/>
          <w:lang w:val="es-419"/>
        </w:rPr>
      </w:pPr>
    </w:p>
    <w:p w14:paraId="1DF747AE" w14:textId="3D7F4F4E" w:rsidR="00F0304C" w:rsidRPr="008574F3" w:rsidRDefault="00F0304C" w:rsidP="009B04EB">
      <w:pPr>
        <w:pStyle w:val="Prrafodelista"/>
        <w:numPr>
          <w:ilvl w:val="0"/>
          <w:numId w:val="24"/>
        </w:numPr>
        <w:spacing w:after="0"/>
        <w:jc w:val="both"/>
        <w:rPr>
          <w:rFonts w:ascii="Arial" w:hAnsi="Arial" w:cs="Arial"/>
          <w:sz w:val="20"/>
          <w:szCs w:val="20"/>
          <w:lang w:val="es-419"/>
        </w:rPr>
      </w:pPr>
      <w:r w:rsidRPr="008574F3">
        <w:rPr>
          <w:rFonts w:ascii="Arial" w:hAnsi="Arial" w:cs="Arial"/>
          <w:sz w:val="20"/>
          <w:szCs w:val="20"/>
          <w:lang w:val="es-419"/>
        </w:rPr>
        <w:t xml:space="preserve">Indicador de la actividad plan de acción N.º </w:t>
      </w:r>
      <w:r w:rsidR="00FD6AF4" w:rsidRPr="008574F3">
        <w:rPr>
          <w:rFonts w:ascii="Arial" w:hAnsi="Arial" w:cs="Arial"/>
          <w:sz w:val="20"/>
          <w:szCs w:val="20"/>
          <w:lang w:val="es-419"/>
        </w:rPr>
        <w:t>84296, Informes</w:t>
      </w:r>
      <w:r w:rsidRPr="008574F3">
        <w:rPr>
          <w:rFonts w:ascii="Arial" w:hAnsi="Arial" w:cs="Arial"/>
          <w:sz w:val="20"/>
          <w:szCs w:val="20"/>
          <w:lang w:val="es-419"/>
        </w:rPr>
        <w:t xml:space="preserve"> presentados a la Secretaria General sobre el uso de los Certificados de Disponibilidad Presupuestal -CDP</w:t>
      </w:r>
      <w:r w:rsidR="00FD6AF4" w:rsidRPr="008574F3">
        <w:rPr>
          <w:rFonts w:ascii="Arial" w:hAnsi="Arial" w:cs="Arial"/>
          <w:sz w:val="20"/>
          <w:szCs w:val="20"/>
          <w:lang w:val="es-419"/>
        </w:rPr>
        <w:t>,</w:t>
      </w:r>
      <w:r w:rsidRPr="008574F3">
        <w:rPr>
          <w:rFonts w:ascii="Arial" w:hAnsi="Arial" w:cs="Arial"/>
          <w:sz w:val="20"/>
          <w:szCs w:val="20"/>
          <w:lang w:val="es-419"/>
        </w:rPr>
        <w:t xml:space="preserve"> solicitados por las dependencias y los saldos de</w:t>
      </w:r>
      <w:r w:rsidR="007B56E6" w:rsidRPr="008574F3">
        <w:rPr>
          <w:rFonts w:ascii="Arial" w:hAnsi="Arial" w:cs="Arial"/>
          <w:sz w:val="20"/>
          <w:szCs w:val="20"/>
          <w:lang w:val="es-419"/>
        </w:rPr>
        <w:t xml:space="preserve"> RP expedidos </w:t>
      </w:r>
      <w:r w:rsidR="00FD6AF4" w:rsidRPr="008574F3">
        <w:rPr>
          <w:rFonts w:ascii="Arial" w:hAnsi="Arial" w:cs="Arial"/>
          <w:sz w:val="20"/>
          <w:szCs w:val="20"/>
          <w:lang w:val="es-419"/>
        </w:rPr>
        <w:t>tienen un</w:t>
      </w:r>
      <w:r w:rsidR="007B56E6" w:rsidRPr="008574F3">
        <w:rPr>
          <w:rFonts w:ascii="Arial" w:hAnsi="Arial" w:cs="Arial"/>
          <w:sz w:val="20"/>
          <w:szCs w:val="20"/>
          <w:lang w:val="es-419"/>
        </w:rPr>
        <w:t xml:space="preserve"> avance del 45</w:t>
      </w:r>
      <w:r w:rsidRPr="008574F3">
        <w:rPr>
          <w:rFonts w:ascii="Arial" w:hAnsi="Arial" w:cs="Arial"/>
          <w:sz w:val="20"/>
          <w:szCs w:val="20"/>
          <w:lang w:val="es-419"/>
        </w:rPr>
        <w:t>% a junio de 2018.</w:t>
      </w:r>
    </w:p>
    <w:p w14:paraId="32858E77" w14:textId="77777777" w:rsidR="00F0304C" w:rsidRPr="008574F3" w:rsidRDefault="00F0304C" w:rsidP="00F0304C">
      <w:pPr>
        <w:spacing w:after="0"/>
        <w:jc w:val="both"/>
        <w:rPr>
          <w:rFonts w:ascii="Arial" w:hAnsi="Arial" w:cs="Arial"/>
          <w:sz w:val="20"/>
          <w:szCs w:val="20"/>
          <w:lang w:val="es-419"/>
        </w:rPr>
      </w:pPr>
    </w:p>
    <w:p w14:paraId="48B7442C" w14:textId="0932F4AF" w:rsidR="00F0304C" w:rsidRPr="008574F3" w:rsidRDefault="00F0304C" w:rsidP="009B04EB">
      <w:pPr>
        <w:pStyle w:val="Prrafodelista"/>
        <w:numPr>
          <w:ilvl w:val="0"/>
          <w:numId w:val="24"/>
        </w:numPr>
        <w:spacing w:after="0"/>
        <w:jc w:val="both"/>
        <w:rPr>
          <w:rFonts w:ascii="Arial" w:hAnsi="Arial" w:cs="Arial"/>
          <w:sz w:val="20"/>
          <w:szCs w:val="20"/>
          <w:lang w:val="es-419"/>
        </w:rPr>
      </w:pPr>
      <w:r w:rsidRPr="008574F3">
        <w:rPr>
          <w:rFonts w:ascii="Arial" w:hAnsi="Arial" w:cs="Arial"/>
          <w:sz w:val="20"/>
          <w:szCs w:val="20"/>
          <w:lang w:val="es-419"/>
        </w:rPr>
        <w:t>Indicador de la actividad plan de acción N.º 84298</w:t>
      </w:r>
      <w:r w:rsidR="00FD6AF4" w:rsidRPr="008574F3">
        <w:rPr>
          <w:rFonts w:ascii="Arial" w:hAnsi="Arial" w:cs="Arial"/>
          <w:sz w:val="20"/>
          <w:szCs w:val="20"/>
          <w:lang w:val="es-419"/>
        </w:rPr>
        <w:t>,</w:t>
      </w:r>
      <w:r w:rsidRPr="008574F3">
        <w:rPr>
          <w:rFonts w:ascii="Arial" w:hAnsi="Arial" w:cs="Arial"/>
          <w:sz w:val="20"/>
          <w:szCs w:val="20"/>
          <w:lang w:val="es-419"/>
        </w:rPr>
        <w:t xml:space="preserve"> Informes de seguimientos presentados a la Secretaria General y dependencias ejecutoras sobre el uso del PAC programado p</w:t>
      </w:r>
      <w:r w:rsidR="009F5B99" w:rsidRPr="008574F3">
        <w:rPr>
          <w:rFonts w:ascii="Arial" w:hAnsi="Arial" w:cs="Arial"/>
          <w:sz w:val="20"/>
          <w:szCs w:val="20"/>
          <w:lang w:val="es-419"/>
        </w:rPr>
        <w:t xml:space="preserve">eriódicamente con </w:t>
      </w:r>
      <w:r w:rsidR="00FD6AF4" w:rsidRPr="008574F3">
        <w:rPr>
          <w:rFonts w:ascii="Arial" w:hAnsi="Arial" w:cs="Arial"/>
          <w:sz w:val="20"/>
          <w:szCs w:val="20"/>
          <w:lang w:val="es-419"/>
        </w:rPr>
        <w:t xml:space="preserve">un </w:t>
      </w:r>
      <w:r w:rsidR="009F5B99" w:rsidRPr="008574F3">
        <w:rPr>
          <w:rFonts w:ascii="Arial" w:hAnsi="Arial" w:cs="Arial"/>
          <w:sz w:val="20"/>
          <w:szCs w:val="20"/>
          <w:lang w:val="es-419"/>
        </w:rPr>
        <w:t>avance del 45</w:t>
      </w:r>
      <w:r w:rsidRPr="008574F3">
        <w:rPr>
          <w:rFonts w:ascii="Arial" w:hAnsi="Arial" w:cs="Arial"/>
          <w:sz w:val="20"/>
          <w:szCs w:val="20"/>
          <w:lang w:val="es-419"/>
        </w:rPr>
        <w:t>% a junio de 2018</w:t>
      </w:r>
      <w:r w:rsidR="007B56E6" w:rsidRPr="008574F3">
        <w:rPr>
          <w:rFonts w:ascii="Arial" w:hAnsi="Arial" w:cs="Arial"/>
          <w:sz w:val="20"/>
          <w:szCs w:val="20"/>
          <w:lang w:val="es-419"/>
        </w:rPr>
        <w:t>.</w:t>
      </w:r>
    </w:p>
    <w:p w14:paraId="39BF16C3" w14:textId="77777777" w:rsidR="00F0304C" w:rsidRPr="008574F3" w:rsidRDefault="00F0304C" w:rsidP="00F0304C">
      <w:pPr>
        <w:pStyle w:val="Prrafodelista"/>
        <w:rPr>
          <w:rFonts w:ascii="Arial" w:hAnsi="Arial" w:cs="Arial"/>
          <w:sz w:val="20"/>
          <w:szCs w:val="20"/>
          <w:lang w:val="es-419"/>
        </w:rPr>
      </w:pPr>
    </w:p>
    <w:p w14:paraId="72D91B51" w14:textId="64A6683A" w:rsidR="00F0304C" w:rsidRPr="008574F3" w:rsidRDefault="009F5B99" w:rsidP="009B04EB">
      <w:pPr>
        <w:pStyle w:val="Prrafodelista"/>
        <w:numPr>
          <w:ilvl w:val="0"/>
          <w:numId w:val="24"/>
        </w:numPr>
        <w:spacing w:after="0"/>
        <w:jc w:val="both"/>
        <w:rPr>
          <w:rFonts w:ascii="Arial" w:hAnsi="Arial" w:cs="Arial"/>
          <w:sz w:val="20"/>
          <w:szCs w:val="20"/>
          <w:lang w:val="es-419"/>
        </w:rPr>
      </w:pPr>
      <w:r w:rsidRPr="008574F3">
        <w:rPr>
          <w:rFonts w:ascii="Arial" w:hAnsi="Arial" w:cs="Arial"/>
          <w:sz w:val="20"/>
          <w:szCs w:val="20"/>
          <w:lang w:val="es-419"/>
        </w:rPr>
        <w:t>Indicador de la a</w:t>
      </w:r>
      <w:r w:rsidR="00F0304C" w:rsidRPr="008574F3">
        <w:rPr>
          <w:rFonts w:ascii="Arial" w:hAnsi="Arial" w:cs="Arial"/>
          <w:sz w:val="20"/>
          <w:szCs w:val="20"/>
          <w:lang w:val="es-419"/>
        </w:rPr>
        <w:t>ctividad plan de acción N.º 84304</w:t>
      </w:r>
      <w:r w:rsidR="00FD6AF4" w:rsidRPr="008574F3">
        <w:rPr>
          <w:rFonts w:ascii="Arial" w:hAnsi="Arial" w:cs="Arial"/>
          <w:sz w:val="20"/>
          <w:szCs w:val="20"/>
          <w:lang w:val="es-419"/>
        </w:rPr>
        <w:t>,</w:t>
      </w:r>
      <w:r w:rsidR="00F0304C" w:rsidRPr="008574F3">
        <w:rPr>
          <w:rFonts w:ascii="Arial" w:hAnsi="Arial" w:cs="Arial"/>
          <w:sz w:val="20"/>
          <w:szCs w:val="20"/>
          <w:lang w:val="es-419"/>
        </w:rPr>
        <w:t xml:space="preserve"> Informes socializados a la S</w:t>
      </w:r>
      <w:r w:rsidR="00FD6AF4" w:rsidRPr="008574F3">
        <w:rPr>
          <w:rFonts w:ascii="Arial" w:hAnsi="Arial" w:cs="Arial"/>
          <w:sz w:val="20"/>
          <w:szCs w:val="20"/>
          <w:lang w:val="es-419"/>
        </w:rPr>
        <w:t xml:space="preserve">ecretaria </w:t>
      </w:r>
      <w:r w:rsidR="00F0304C" w:rsidRPr="008574F3">
        <w:rPr>
          <w:rFonts w:ascii="Arial" w:hAnsi="Arial" w:cs="Arial"/>
          <w:sz w:val="20"/>
          <w:szCs w:val="20"/>
          <w:lang w:val="es-419"/>
        </w:rPr>
        <w:t>G</w:t>
      </w:r>
      <w:r w:rsidR="00FD6AF4" w:rsidRPr="008574F3">
        <w:rPr>
          <w:rFonts w:ascii="Arial" w:hAnsi="Arial" w:cs="Arial"/>
          <w:sz w:val="20"/>
          <w:szCs w:val="20"/>
          <w:lang w:val="es-419"/>
        </w:rPr>
        <w:t>eneral</w:t>
      </w:r>
      <w:r w:rsidR="00F0304C" w:rsidRPr="008574F3">
        <w:rPr>
          <w:rFonts w:ascii="Arial" w:hAnsi="Arial" w:cs="Arial"/>
          <w:sz w:val="20"/>
          <w:szCs w:val="20"/>
          <w:lang w:val="es-419"/>
        </w:rPr>
        <w:t xml:space="preserve"> y a la O</w:t>
      </w:r>
      <w:r w:rsidR="00FD6AF4" w:rsidRPr="008574F3">
        <w:rPr>
          <w:rFonts w:ascii="Arial" w:hAnsi="Arial" w:cs="Arial"/>
          <w:sz w:val="20"/>
          <w:szCs w:val="20"/>
          <w:lang w:val="es-419"/>
        </w:rPr>
        <w:t xml:space="preserve">ficina </w:t>
      </w:r>
      <w:r w:rsidR="00F0304C" w:rsidRPr="008574F3">
        <w:rPr>
          <w:rFonts w:ascii="Arial" w:hAnsi="Arial" w:cs="Arial"/>
          <w:sz w:val="20"/>
          <w:szCs w:val="20"/>
          <w:lang w:val="es-419"/>
        </w:rPr>
        <w:t>A</w:t>
      </w:r>
      <w:r w:rsidR="00FD6AF4" w:rsidRPr="008574F3">
        <w:rPr>
          <w:rFonts w:ascii="Arial" w:hAnsi="Arial" w:cs="Arial"/>
          <w:sz w:val="20"/>
          <w:szCs w:val="20"/>
          <w:lang w:val="es-419"/>
        </w:rPr>
        <w:t xml:space="preserve">sesora de </w:t>
      </w:r>
      <w:r w:rsidR="00F0304C" w:rsidRPr="008574F3">
        <w:rPr>
          <w:rFonts w:ascii="Arial" w:hAnsi="Arial" w:cs="Arial"/>
          <w:sz w:val="20"/>
          <w:szCs w:val="20"/>
          <w:lang w:val="es-419"/>
        </w:rPr>
        <w:t>P</w:t>
      </w:r>
      <w:r w:rsidR="00FD6AF4" w:rsidRPr="008574F3">
        <w:rPr>
          <w:rFonts w:ascii="Arial" w:hAnsi="Arial" w:cs="Arial"/>
          <w:sz w:val="20"/>
          <w:szCs w:val="20"/>
          <w:lang w:val="es-419"/>
        </w:rPr>
        <w:t>laneación,</w:t>
      </w:r>
      <w:r w:rsidR="00F0304C" w:rsidRPr="008574F3">
        <w:rPr>
          <w:rFonts w:ascii="Arial" w:hAnsi="Arial" w:cs="Arial"/>
          <w:sz w:val="20"/>
          <w:szCs w:val="20"/>
          <w:lang w:val="es-419"/>
        </w:rPr>
        <w:t xml:space="preserve"> con saldo de apropiaciones no progra</w:t>
      </w:r>
      <w:r w:rsidRPr="008574F3">
        <w:rPr>
          <w:rFonts w:ascii="Arial" w:hAnsi="Arial" w:cs="Arial"/>
          <w:sz w:val="20"/>
          <w:szCs w:val="20"/>
          <w:lang w:val="es-419"/>
        </w:rPr>
        <w:t xml:space="preserve">madas en PAA con </w:t>
      </w:r>
      <w:r w:rsidR="00FD6AF4" w:rsidRPr="008574F3">
        <w:rPr>
          <w:rFonts w:ascii="Arial" w:hAnsi="Arial" w:cs="Arial"/>
          <w:sz w:val="20"/>
          <w:szCs w:val="20"/>
          <w:lang w:val="es-419"/>
        </w:rPr>
        <w:t xml:space="preserve">un </w:t>
      </w:r>
      <w:r w:rsidRPr="008574F3">
        <w:rPr>
          <w:rFonts w:ascii="Arial" w:hAnsi="Arial" w:cs="Arial"/>
          <w:sz w:val="20"/>
          <w:szCs w:val="20"/>
          <w:lang w:val="es-419"/>
        </w:rPr>
        <w:t>avance del 45</w:t>
      </w:r>
      <w:r w:rsidR="00F0304C" w:rsidRPr="008574F3">
        <w:rPr>
          <w:rFonts w:ascii="Arial" w:hAnsi="Arial" w:cs="Arial"/>
          <w:sz w:val="20"/>
          <w:szCs w:val="20"/>
          <w:lang w:val="es-419"/>
        </w:rPr>
        <w:t>% a junio de 2018.</w:t>
      </w:r>
    </w:p>
    <w:p w14:paraId="0DF9E286" w14:textId="77777777" w:rsidR="00F0304C" w:rsidRPr="008574F3" w:rsidRDefault="00F0304C" w:rsidP="00F0304C">
      <w:pPr>
        <w:pStyle w:val="Prrafodelista"/>
        <w:rPr>
          <w:rFonts w:ascii="Arial" w:hAnsi="Arial" w:cs="Arial"/>
          <w:sz w:val="20"/>
          <w:szCs w:val="20"/>
          <w:lang w:val="es-419"/>
        </w:rPr>
      </w:pPr>
    </w:p>
    <w:p w14:paraId="4673D7F7" w14:textId="5634304B" w:rsidR="00F0304C" w:rsidRPr="008574F3" w:rsidRDefault="00F0304C" w:rsidP="009B04EB">
      <w:pPr>
        <w:pStyle w:val="Prrafodelista"/>
        <w:numPr>
          <w:ilvl w:val="0"/>
          <w:numId w:val="24"/>
        </w:numPr>
        <w:spacing w:after="0"/>
        <w:jc w:val="both"/>
        <w:rPr>
          <w:rFonts w:ascii="Arial" w:hAnsi="Arial" w:cs="Arial"/>
          <w:sz w:val="20"/>
          <w:szCs w:val="20"/>
          <w:lang w:val="es-419"/>
        </w:rPr>
      </w:pPr>
      <w:r w:rsidRPr="008574F3">
        <w:rPr>
          <w:rFonts w:ascii="Arial" w:hAnsi="Arial" w:cs="Arial"/>
          <w:sz w:val="20"/>
          <w:szCs w:val="20"/>
          <w:lang w:val="es-419"/>
        </w:rPr>
        <w:t>Indicador de la Actividad plan de acción N.º 84331</w:t>
      </w:r>
      <w:r w:rsidR="00FD6AF4" w:rsidRPr="008574F3">
        <w:rPr>
          <w:rFonts w:ascii="Arial" w:hAnsi="Arial" w:cs="Arial"/>
          <w:sz w:val="20"/>
          <w:szCs w:val="20"/>
          <w:lang w:val="es-419"/>
        </w:rPr>
        <w:t>,</w:t>
      </w:r>
      <w:r w:rsidRPr="008574F3">
        <w:rPr>
          <w:rFonts w:ascii="Arial" w:hAnsi="Arial" w:cs="Arial"/>
          <w:sz w:val="20"/>
          <w:szCs w:val="20"/>
          <w:lang w:val="es-419"/>
        </w:rPr>
        <w:t xml:space="preserve"> Nivel de avance en la implementación fase convergencia final NICSP, siendo este de evaluación semestral y para el cual en el primer </w:t>
      </w:r>
      <w:r w:rsidR="009F5B99" w:rsidRPr="008574F3">
        <w:rPr>
          <w:rFonts w:ascii="Arial" w:hAnsi="Arial" w:cs="Arial"/>
          <w:sz w:val="20"/>
          <w:szCs w:val="20"/>
          <w:lang w:val="es-419"/>
        </w:rPr>
        <w:t xml:space="preserve">semestre </w:t>
      </w:r>
      <w:r w:rsidRPr="008574F3">
        <w:rPr>
          <w:rFonts w:ascii="Arial" w:hAnsi="Arial" w:cs="Arial"/>
          <w:sz w:val="20"/>
          <w:szCs w:val="20"/>
          <w:lang w:val="es-419"/>
        </w:rPr>
        <w:t>de 2018</w:t>
      </w:r>
      <w:r w:rsidR="009F5B99" w:rsidRPr="008574F3">
        <w:rPr>
          <w:rFonts w:ascii="Arial" w:hAnsi="Arial" w:cs="Arial"/>
          <w:sz w:val="20"/>
          <w:szCs w:val="20"/>
          <w:lang w:val="es-419"/>
        </w:rPr>
        <w:t xml:space="preserve"> </w:t>
      </w:r>
      <w:r w:rsidRPr="008574F3">
        <w:rPr>
          <w:rFonts w:ascii="Arial" w:hAnsi="Arial" w:cs="Arial"/>
          <w:sz w:val="20"/>
          <w:szCs w:val="20"/>
          <w:lang w:val="es-419"/>
        </w:rPr>
        <w:t xml:space="preserve">inicia su seguimiento </w:t>
      </w:r>
      <w:r w:rsidR="009F5B99" w:rsidRPr="008574F3">
        <w:rPr>
          <w:rFonts w:ascii="Arial" w:hAnsi="Arial" w:cs="Arial"/>
          <w:sz w:val="20"/>
          <w:szCs w:val="20"/>
          <w:lang w:val="es-419"/>
        </w:rPr>
        <w:t xml:space="preserve">a partir del mes de </w:t>
      </w:r>
      <w:r w:rsidRPr="008574F3">
        <w:rPr>
          <w:rFonts w:ascii="Arial" w:hAnsi="Arial" w:cs="Arial"/>
          <w:sz w:val="20"/>
          <w:szCs w:val="20"/>
          <w:lang w:val="es-419"/>
        </w:rPr>
        <w:t xml:space="preserve">julio de 2018. </w:t>
      </w:r>
    </w:p>
    <w:p w14:paraId="6530FBCA" w14:textId="77777777" w:rsidR="00FB58FA" w:rsidRPr="008574F3" w:rsidRDefault="00FB58FA" w:rsidP="00FB58FA">
      <w:pPr>
        <w:spacing w:after="0"/>
        <w:jc w:val="both"/>
        <w:rPr>
          <w:rFonts w:ascii="Arial" w:hAnsi="Arial" w:cs="Arial"/>
          <w:sz w:val="20"/>
          <w:szCs w:val="20"/>
          <w:lang w:val="es-419"/>
        </w:rPr>
      </w:pPr>
    </w:p>
    <w:p w14:paraId="23386527" w14:textId="77777777" w:rsidR="00F0304C" w:rsidRPr="008574F3" w:rsidRDefault="00FB58FA" w:rsidP="00F0304C">
      <w:pPr>
        <w:spacing w:after="0"/>
        <w:jc w:val="both"/>
        <w:rPr>
          <w:rFonts w:ascii="Arial" w:hAnsi="Arial" w:cs="Arial"/>
          <w:sz w:val="20"/>
          <w:szCs w:val="20"/>
          <w:lang w:val="es-419"/>
        </w:rPr>
      </w:pPr>
      <w:r w:rsidRPr="008574F3">
        <w:rPr>
          <w:rFonts w:ascii="Arial" w:hAnsi="Arial" w:cs="Arial"/>
          <w:sz w:val="20"/>
          <w:szCs w:val="20"/>
          <w:lang w:val="es-419"/>
        </w:rPr>
        <w:t xml:space="preserve">Cabe anotar que los porcentajes de avance anteriormente establecidos corresponden al </w:t>
      </w:r>
      <w:r w:rsidRPr="008574F3">
        <w:rPr>
          <w:rFonts w:ascii="Arial" w:hAnsi="Arial" w:cs="Arial"/>
          <w:i/>
          <w:sz w:val="18"/>
          <w:szCs w:val="18"/>
          <w:lang w:val="es-419"/>
        </w:rPr>
        <w:t>“Análisis al avance del Plan de Acción de la Unidad Para la Atención y Reparación Integral a las Victimas Segundo informe trimestral”</w:t>
      </w:r>
      <w:r w:rsidRPr="008574F3">
        <w:rPr>
          <w:rFonts w:ascii="Arial" w:hAnsi="Arial" w:cs="Arial"/>
          <w:sz w:val="20"/>
          <w:szCs w:val="20"/>
          <w:lang w:val="es-419"/>
        </w:rPr>
        <w:t xml:space="preserve"> realizado por la Oficina Asesora de Planeación.  </w:t>
      </w:r>
    </w:p>
    <w:p w14:paraId="458D4ACE" w14:textId="77777777" w:rsidR="00FB58FA" w:rsidRPr="008574F3" w:rsidRDefault="00FB58FA" w:rsidP="00F0304C">
      <w:pPr>
        <w:spacing w:after="0"/>
        <w:jc w:val="both"/>
        <w:rPr>
          <w:rFonts w:ascii="Arial" w:hAnsi="Arial" w:cs="Arial"/>
          <w:sz w:val="20"/>
          <w:szCs w:val="20"/>
          <w:lang w:val="es-419"/>
        </w:rPr>
      </w:pPr>
    </w:p>
    <w:p w14:paraId="161D0CF7" w14:textId="112BA4B0" w:rsidR="00306B81" w:rsidRPr="008574F3" w:rsidRDefault="00F0304C" w:rsidP="00B17613">
      <w:pPr>
        <w:spacing w:after="0"/>
        <w:jc w:val="both"/>
        <w:rPr>
          <w:rFonts w:ascii="Arial" w:hAnsi="Arial" w:cs="Arial"/>
          <w:sz w:val="20"/>
          <w:szCs w:val="20"/>
          <w:lang w:val="es-419"/>
        </w:rPr>
      </w:pPr>
      <w:r w:rsidRPr="008574F3">
        <w:rPr>
          <w:rFonts w:ascii="Arial" w:hAnsi="Arial" w:cs="Arial"/>
          <w:sz w:val="20"/>
          <w:szCs w:val="20"/>
          <w:lang w:val="es-419"/>
        </w:rPr>
        <w:t xml:space="preserve">Teniendo en cuenta </w:t>
      </w:r>
      <w:r w:rsidR="009F5B99" w:rsidRPr="008574F3">
        <w:rPr>
          <w:rFonts w:ascii="Arial" w:hAnsi="Arial" w:cs="Arial"/>
          <w:sz w:val="20"/>
          <w:szCs w:val="20"/>
          <w:lang w:val="es-419"/>
        </w:rPr>
        <w:t xml:space="preserve">el </w:t>
      </w:r>
      <w:r w:rsidRPr="008574F3">
        <w:rPr>
          <w:rFonts w:ascii="Arial" w:hAnsi="Arial" w:cs="Arial"/>
          <w:sz w:val="20"/>
          <w:szCs w:val="20"/>
          <w:lang w:val="es-419"/>
        </w:rPr>
        <w:t>plan de acción vigencia 2018 no se tienen indicadores de refer</w:t>
      </w:r>
      <w:r w:rsidR="009F5B99" w:rsidRPr="008574F3">
        <w:rPr>
          <w:rFonts w:ascii="Arial" w:hAnsi="Arial" w:cs="Arial"/>
          <w:sz w:val="20"/>
          <w:szCs w:val="20"/>
          <w:lang w:val="es-419"/>
        </w:rPr>
        <w:t xml:space="preserve">encia para realizar el comparativo </w:t>
      </w:r>
      <w:r w:rsidRPr="008574F3">
        <w:rPr>
          <w:rFonts w:ascii="Arial" w:hAnsi="Arial" w:cs="Arial"/>
          <w:sz w:val="20"/>
          <w:szCs w:val="20"/>
          <w:lang w:val="es-419"/>
        </w:rPr>
        <w:t>y/o seguimiento con respecto a los del 2017.</w:t>
      </w:r>
      <w:r w:rsidR="009F5B99" w:rsidRPr="008574F3">
        <w:rPr>
          <w:rFonts w:ascii="Arial" w:hAnsi="Arial" w:cs="Arial"/>
          <w:sz w:val="20"/>
          <w:szCs w:val="20"/>
          <w:lang w:val="es-419"/>
        </w:rPr>
        <w:t xml:space="preserve"> Se evidencia</w:t>
      </w:r>
      <w:r w:rsidRPr="008574F3">
        <w:rPr>
          <w:rFonts w:ascii="Arial" w:hAnsi="Arial" w:cs="Arial"/>
          <w:sz w:val="20"/>
          <w:szCs w:val="20"/>
          <w:lang w:val="es-419"/>
        </w:rPr>
        <w:t xml:space="preserve"> </w:t>
      </w:r>
      <w:r w:rsidR="00575640" w:rsidRPr="008574F3">
        <w:rPr>
          <w:rFonts w:ascii="Arial" w:hAnsi="Arial" w:cs="Arial"/>
          <w:sz w:val="20"/>
          <w:szCs w:val="20"/>
          <w:lang w:val="es-419"/>
        </w:rPr>
        <w:t>que</w:t>
      </w:r>
      <w:r w:rsidR="009F5B99" w:rsidRPr="008574F3">
        <w:rPr>
          <w:rFonts w:ascii="Arial" w:hAnsi="Arial" w:cs="Arial"/>
          <w:sz w:val="20"/>
          <w:szCs w:val="20"/>
          <w:lang w:val="es-419"/>
        </w:rPr>
        <w:t xml:space="preserve"> de a</w:t>
      </w:r>
      <w:r w:rsidR="0081249A" w:rsidRPr="008574F3">
        <w:rPr>
          <w:rFonts w:ascii="Arial" w:hAnsi="Arial" w:cs="Arial"/>
          <w:sz w:val="20"/>
          <w:szCs w:val="20"/>
          <w:lang w:val="es-419"/>
        </w:rPr>
        <w:t xml:space="preserve">cuerdo a las metas establecidas </w:t>
      </w:r>
      <w:r w:rsidR="009F5B99" w:rsidRPr="008574F3">
        <w:rPr>
          <w:rFonts w:ascii="Arial" w:hAnsi="Arial" w:cs="Arial"/>
          <w:sz w:val="20"/>
          <w:szCs w:val="20"/>
          <w:lang w:val="es-419"/>
        </w:rPr>
        <w:t>para el primer semestre de 2018, los indicadores se están</w:t>
      </w:r>
      <w:r w:rsidR="0081249A" w:rsidRPr="008574F3">
        <w:rPr>
          <w:rFonts w:ascii="Arial" w:hAnsi="Arial" w:cs="Arial"/>
          <w:sz w:val="20"/>
          <w:szCs w:val="20"/>
          <w:lang w:val="es-419"/>
        </w:rPr>
        <w:t xml:space="preserve"> cumpliendo con base en l</w:t>
      </w:r>
      <w:r w:rsidR="009F5B99" w:rsidRPr="008574F3">
        <w:rPr>
          <w:rFonts w:ascii="Arial" w:hAnsi="Arial" w:cs="Arial"/>
          <w:sz w:val="20"/>
          <w:szCs w:val="20"/>
          <w:lang w:val="es-419"/>
        </w:rPr>
        <w:t>o planeado</w:t>
      </w:r>
      <w:r w:rsidR="0081249A" w:rsidRPr="008574F3">
        <w:rPr>
          <w:rFonts w:ascii="Arial" w:hAnsi="Arial" w:cs="Arial"/>
          <w:sz w:val="20"/>
          <w:szCs w:val="20"/>
          <w:lang w:val="es-419"/>
        </w:rPr>
        <w:t xml:space="preserve">. </w:t>
      </w:r>
      <w:r w:rsidR="00306B81" w:rsidRPr="008574F3">
        <w:rPr>
          <w:rFonts w:ascii="Arial" w:hAnsi="Arial" w:cs="Arial"/>
          <w:sz w:val="20"/>
          <w:szCs w:val="20"/>
          <w:lang w:val="es-419"/>
        </w:rPr>
        <w:t xml:space="preserve">No obstante, es importante tener en cuenta </w:t>
      </w:r>
      <w:r w:rsidR="00DF48B3" w:rsidRPr="008574F3">
        <w:rPr>
          <w:rFonts w:ascii="Arial" w:hAnsi="Arial" w:cs="Arial"/>
          <w:sz w:val="20"/>
          <w:szCs w:val="20"/>
          <w:lang w:val="es-419"/>
        </w:rPr>
        <w:t xml:space="preserve">lo expuesto en el </w:t>
      </w:r>
      <w:r w:rsidR="00A266B0" w:rsidRPr="008574F3">
        <w:rPr>
          <w:rFonts w:ascii="Arial" w:hAnsi="Arial" w:cs="Arial"/>
          <w:sz w:val="20"/>
          <w:szCs w:val="20"/>
          <w:lang w:val="es-419"/>
        </w:rPr>
        <w:t>MIPG</w:t>
      </w:r>
      <w:r w:rsidR="00306B81" w:rsidRPr="008574F3">
        <w:rPr>
          <w:rFonts w:ascii="Arial" w:hAnsi="Arial" w:cs="Arial"/>
          <w:sz w:val="20"/>
          <w:szCs w:val="20"/>
          <w:lang w:val="es-419"/>
        </w:rPr>
        <w:t xml:space="preserve"> referente a</w:t>
      </w:r>
      <w:r w:rsidR="00575640" w:rsidRPr="008574F3">
        <w:rPr>
          <w:rFonts w:ascii="Arial" w:hAnsi="Arial" w:cs="Arial"/>
          <w:sz w:val="20"/>
          <w:szCs w:val="20"/>
          <w:lang w:val="es-419"/>
        </w:rPr>
        <w:t xml:space="preserve"> las recomendaciones para la formulación de los indicadores</w:t>
      </w:r>
      <w:r w:rsidR="006A61E9" w:rsidRPr="008574F3">
        <w:rPr>
          <w:rFonts w:ascii="Arial" w:hAnsi="Arial" w:cs="Arial"/>
          <w:sz w:val="20"/>
          <w:szCs w:val="20"/>
          <w:lang w:val="es-419"/>
        </w:rPr>
        <w:t xml:space="preserve"> al señalar que</w:t>
      </w:r>
      <w:r w:rsidR="00306B81" w:rsidRPr="008574F3">
        <w:rPr>
          <w:rFonts w:ascii="Arial" w:hAnsi="Arial" w:cs="Arial"/>
          <w:sz w:val="20"/>
          <w:szCs w:val="20"/>
          <w:lang w:val="es-419"/>
        </w:rPr>
        <w:t xml:space="preserve">: </w:t>
      </w:r>
    </w:p>
    <w:p w14:paraId="688E6469" w14:textId="77777777" w:rsidR="00575640" w:rsidRPr="008574F3" w:rsidRDefault="00575640" w:rsidP="00B17613">
      <w:pPr>
        <w:spacing w:after="0"/>
        <w:jc w:val="both"/>
        <w:rPr>
          <w:rFonts w:ascii="Arial" w:hAnsi="Arial" w:cs="Arial"/>
          <w:i/>
          <w:sz w:val="18"/>
          <w:szCs w:val="18"/>
          <w:lang w:val="es-419"/>
        </w:rPr>
      </w:pPr>
    </w:p>
    <w:p w14:paraId="409B4133" w14:textId="14B7C1B1" w:rsidR="00B17613" w:rsidRPr="008574F3" w:rsidRDefault="00DF48B3" w:rsidP="006A61E9">
      <w:pPr>
        <w:spacing w:after="0"/>
        <w:ind w:left="708"/>
        <w:jc w:val="both"/>
        <w:rPr>
          <w:rFonts w:ascii="Arial" w:hAnsi="Arial" w:cs="Arial"/>
          <w:sz w:val="20"/>
          <w:szCs w:val="20"/>
          <w:lang w:val="es-419"/>
        </w:rPr>
      </w:pPr>
      <w:r w:rsidRPr="008574F3">
        <w:rPr>
          <w:rFonts w:ascii="Arial" w:hAnsi="Arial" w:cs="Arial"/>
          <w:i/>
          <w:sz w:val="18"/>
          <w:szCs w:val="18"/>
          <w:lang w:val="es-419"/>
        </w:rPr>
        <w:t>“</w:t>
      </w:r>
      <w:r w:rsidR="00306B81" w:rsidRPr="008574F3">
        <w:rPr>
          <w:rFonts w:ascii="Arial" w:hAnsi="Arial" w:cs="Arial"/>
          <w:i/>
          <w:sz w:val="18"/>
          <w:szCs w:val="18"/>
          <w:lang w:val="es-419"/>
        </w:rPr>
        <w:t>E</w:t>
      </w:r>
      <w:r w:rsidR="00B17613" w:rsidRPr="008574F3">
        <w:rPr>
          <w:rFonts w:ascii="Arial" w:hAnsi="Arial" w:cs="Arial"/>
          <w:i/>
          <w:sz w:val="18"/>
          <w:szCs w:val="18"/>
          <w:lang w:val="es-419"/>
        </w:rPr>
        <w:t xml:space="preserve">s recomendable contar con un grupo de indicadores que permita conocer el estado real de la ejecución de las actividades, el logro de metas, objetivos o resultados y sus efectos en la ciudadanía. Para su construcción es útil: </w:t>
      </w:r>
    </w:p>
    <w:p w14:paraId="3329AEAF" w14:textId="7BE0B561" w:rsidR="00A336CF" w:rsidRPr="008574F3" w:rsidRDefault="00306B81" w:rsidP="006A61E9">
      <w:pPr>
        <w:spacing w:after="0"/>
        <w:ind w:left="708"/>
        <w:jc w:val="both"/>
        <w:rPr>
          <w:rFonts w:ascii="Arial" w:hAnsi="Arial" w:cs="Arial"/>
          <w:i/>
          <w:sz w:val="18"/>
          <w:szCs w:val="18"/>
          <w:lang w:val="es-419"/>
        </w:rPr>
      </w:pPr>
      <w:r w:rsidRPr="008574F3">
        <w:rPr>
          <w:rFonts w:ascii="Arial" w:hAnsi="Arial" w:cs="Arial"/>
          <w:i/>
          <w:sz w:val="18"/>
          <w:szCs w:val="18"/>
          <w:lang w:val="es-419"/>
        </w:rPr>
        <w:t>-</w:t>
      </w:r>
      <w:r w:rsidR="00B17613" w:rsidRPr="008574F3">
        <w:rPr>
          <w:rFonts w:ascii="Arial" w:hAnsi="Arial" w:cs="Arial"/>
          <w:i/>
          <w:sz w:val="18"/>
          <w:szCs w:val="18"/>
          <w:lang w:val="es-419"/>
        </w:rPr>
        <w:t xml:space="preserve">Tener claro los objetivos, planes, programas y proyectos para identificar los aspectos prioritarios a ser susceptibles de </w:t>
      </w:r>
      <w:r w:rsidR="00575640" w:rsidRPr="008574F3">
        <w:rPr>
          <w:rFonts w:ascii="Arial" w:hAnsi="Arial" w:cs="Arial"/>
          <w:i/>
          <w:sz w:val="18"/>
          <w:szCs w:val="18"/>
          <w:lang w:val="es-419"/>
        </w:rPr>
        <w:t>medición. (…)</w:t>
      </w:r>
    </w:p>
    <w:p w14:paraId="03E3290C" w14:textId="0EE01014" w:rsidR="00B17613" w:rsidRPr="00306B81" w:rsidRDefault="00306B81" w:rsidP="006A61E9">
      <w:pPr>
        <w:spacing w:after="0"/>
        <w:ind w:left="708"/>
        <w:jc w:val="both"/>
        <w:rPr>
          <w:rFonts w:ascii="Arial" w:hAnsi="Arial" w:cs="Arial"/>
          <w:i/>
          <w:sz w:val="18"/>
          <w:szCs w:val="18"/>
          <w:lang w:val="es-419"/>
        </w:rPr>
      </w:pPr>
      <w:r w:rsidRPr="008574F3">
        <w:rPr>
          <w:rFonts w:ascii="Arial" w:hAnsi="Arial" w:cs="Arial"/>
          <w:i/>
          <w:sz w:val="18"/>
          <w:szCs w:val="18"/>
          <w:lang w:val="es-419"/>
        </w:rPr>
        <w:t>-</w:t>
      </w:r>
      <w:r w:rsidR="00B17613" w:rsidRPr="008574F3">
        <w:rPr>
          <w:rFonts w:ascii="Arial" w:hAnsi="Arial" w:cs="Arial"/>
          <w:i/>
          <w:sz w:val="18"/>
          <w:szCs w:val="18"/>
          <w:lang w:val="es-419"/>
        </w:rPr>
        <w:t>Establecer qué se debe medir y qué información se quiere obtener de esa medición, para saber qué tipo de indicador se necesita. Establecer la frecuencia adecuada para la medición de los indicadores, para tomar decisiones en el momento justo.</w:t>
      </w:r>
      <w:r w:rsidRPr="008574F3">
        <w:rPr>
          <w:rFonts w:ascii="Arial" w:hAnsi="Arial" w:cs="Arial"/>
          <w:i/>
          <w:sz w:val="18"/>
          <w:szCs w:val="18"/>
          <w:lang w:val="es-419"/>
        </w:rPr>
        <w:t>”</w:t>
      </w:r>
      <w:r w:rsidR="00575640" w:rsidRPr="008574F3">
        <w:rPr>
          <w:rStyle w:val="Refdenotaalpie"/>
          <w:rFonts w:ascii="Arial" w:hAnsi="Arial" w:cs="Arial"/>
          <w:i/>
          <w:sz w:val="18"/>
          <w:szCs w:val="18"/>
          <w:lang w:val="es-419"/>
        </w:rPr>
        <w:footnoteReference w:id="5"/>
      </w:r>
      <w:r w:rsidR="00575640" w:rsidRPr="008574F3">
        <w:rPr>
          <w:rFonts w:ascii="Arial" w:hAnsi="Arial" w:cs="Arial"/>
          <w:i/>
          <w:sz w:val="18"/>
          <w:szCs w:val="18"/>
          <w:lang w:val="es-419"/>
        </w:rPr>
        <w:t>(…)</w:t>
      </w:r>
    </w:p>
    <w:p w14:paraId="199628C3" w14:textId="77777777" w:rsidR="009A4B3A" w:rsidRPr="004C11AA" w:rsidRDefault="009A4B3A" w:rsidP="00A10353">
      <w:pPr>
        <w:spacing w:after="0"/>
        <w:jc w:val="both"/>
        <w:rPr>
          <w:rFonts w:ascii="Arial" w:eastAsia="Calibri" w:hAnsi="Arial" w:cs="Arial"/>
          <w:sz w:val="20"/>
          <w:szCs w:val="20"/>
          <w:lang w:val="es-CO" w:eastAsia="es-ES"/>
        </w:rPr>
      </w:pPr>
    </w:p>
    <w:p w14:paraId="30A68926" w14:textId="77777777" w:rsidR="00127090" w:rsidRPr="008574F3" w:rsidRDefault="00127090" w:rsidP="00127090">
      <w:pPr>
        <w:spacing w:after="0"/>
        <w:jc w:val="both"/>
        <w:rPr>
          <w:rFonts w:ascii="Arial" w:eastAsia="Calibri" w:hAnsi="Arial" w:cs="Arial"/>
          <w:b/>
          <w:sz w:val="20"/>
          <w:szCs w:val="20"/>
          <w:lang w:val="es-CO" w:eastAsia="es-ES"/>
        </w:rPr>
      </w:pPr>
      <w:r w:rsidRPr="008574F3">
        <w:rPr>
          <w:rFonts w:ascii="Arial" w:eastAsia="Calibri" w:hAnsi="Arial" w:cs="Arial"/>
          <w:b/>
          <w:sz w:val="20"/>
          <w:szCs w:val="20"/>
          <w:lang w:val="es-CO" w:eastAsia="es-ES"/>
        </w:rPr>
        <w:t>5.1.3</w:t>
      </w:r>
      <w:r w:rsidRPr="008574F3">
        <w:rPr>
          <w:rFonts w:ascii="Arial" w:eastAsia="Calibri" w:hAnsi="Arial" w:cs="Arial"/>
          <w:b/>
          <w:sz w:val="20"/>
          <w:szCs w:val="20"/>
          <w:lang w:val="es-CO" w:eastAsia="es-ES"/>
        </w:rPr>
        <w:tab/>
        <w:t>Mapa de riesgos</w:t>
      </w:r>
    </w:p>
    <w:p w14:paraId="13EEE1A1" w14:textId="77777777" w:rsidR="006A2E84" w:rsidRPr="008574F3" w:rsidRDefault="006A2E84" w:rsidP="006A2E84">
      <w:pPr>
        <w:spacing w:after="0"/>
        <w:jc w:val="both"/>
        <w:rPr>
          <w:rFonts w:ascii="Arial" w:hAnsi="Arial" w:cs="Arial"/>
          <w:b/>
          <w:sz w:val="20"/>
          <w:szCs w:val="20"/>
          <w:lang w:val="es-CO"/>
        </w:rPr>
      </w:pPr>
    </w:p>
    <w:p w14:paraId="4E529C47" w14:textId="1A9D1CE7" w:rsidR="006A2E84" w:rsidRDefault="006A2E84" w:rsidP="006A2E84">
      <w:pPr>
        <w:spacing w:after="0"/>
        <w:jc w:val="both"/>
        <w:rPr>
          <w:rFonts w:ascii="Arial" w:eastAsia="Calibri" w:hAnsi="Arial" w:cs="Arial"/>
          <w:sz w:val="20"/>
          <w:szCs w:val="20"/>
          <w:lang w:val="es-CO" w:eastAsia="es-ES"/>
        </w:rPr>
      </w:pPr>
      <w:r w:rsidRPr="008574F3">
        <w:rPr>
          <w:rFonts w:ascii="Arial" w:eastAsia="Calibri" w:hAnsi="Arial" w:cs="Arial"/>
          <w:sz w:val="20"/>
          <w:szCs w:val="20"/>
          <w:lang w:val="es-CO" w:eastAsia="es-ES"/>
        </w:rPr>
        <w:lastRenderedPageBreak/>
        <w:t xml:space="preserve">El Equipo Auditor, de igual manera, aplica a servidores seleccionados adscritos </w:t>
      </w:r>
      <w:r w:rsidR="008D5053" w:rsidRPr="008574F3">
        <w:rPr>
          <w:rFonts w:ascii="Arial" w:eastAsia="Calibri" w:hAnsi="Arial" w:cs="Arial"/>
          <w:sz w:val="20"/>
          <w:szCs w:val="20"/>
          <w:lang w:val="es-CO" w:eastAsia="es-ES"/>
        </w:rPr>
        <w:t xml:space="preserve">al </w:t>
      </w:r>
      <w:r w:rsidRPr="008574F3">
        <w:rPr>
          <w:rFonts w:ascii="Arial" w:eastAsia="Calibri" w:hAnsi="Arial" w:cs="Arial"/>
          <w:sz w:val="20"/>
          <w:szCs w:val="20"/>
          <w:lang w:val="es-CO" w:eastAsia="es-ES"/>
        </w:rPr>
        <w:t>proceso de Gestión Financiera - Administración Presupuestal la misma herramienta de percepción, que tiene como propósito determinar el nivel de madurez del análisis de los riesgos. Los resultados obtenidos se muestran en la siguiente gráfica:</w:t>
      </w:r>
    </w:p>
    <w:p w14:paraId="524231E0" w14:textId="77777777" w:rsidR="006A2E84" w:rsidRPr="009649CB" w:rsidRDefault="006A2E84" w:rsidP="006A2E84">
      <w:pPr>
        <w:spacing w:after="0"/>
        <w:jc w:val="both"/>
        <w:rPr>
          <w:rFonts w:ascii="Arial" w:hAnsi="Arial" w:cs="Arial"/>
          <w:b/>
          <w:sz w:val="20"/>
          <w:szCs w:val="20"/>
          <w:lang w:val="es-419"/>
        </w:rPr>
      </w:pPr>
    </w:p>
    <w:p w14:paraId="50802F4C" w14:textId="77777777" w:rsidR="006A2E84" w:rsidRPr="009649CB" w:rsidRDefault="006A2E84" w:rsidP="006A2E84">
      <w:pPr>
        <w:spacing w:after="0"/>
        <w:jc w:val="center"/>
        <w:rPr>
          <w:rFonts w:ascii="Arial" w:hAnsi="Arial" w:cs="Arial"/>
          <w:b/>
          <w:sz w:val="20"/>
          <w:szCs w:val="20"/>
          <w:lang w:val="es-419"/>
        </w:rPr>
      </w:pPr>
      <w:r w:rsidRPr="009649CB">
        <w:rPr>
          <w:rFonts w:ascii="Arial" w:hAnsi="Arial" w:cs="Arial"/>
          <w:noProof/>
          <w:sz w:val="20"/>
          <w:szCs w:val="20"/>
          <w:lang w:eastAsia="es-ES"/>
        </w:rPr>
        <w:drawing>
          <wp:inline distT="0" distB="0" distL="0" distR="0" wp14:anchorId="70A42A99" wp14:editId="33230466">
            <wp:extent cx="5572125" cy="1610995"/>
            <wp:effectExtent l="0" t="0" r="9525" b="8255"/>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846327" cy="1690271"/>
                    </a:xfrm>
                    <a:prstGeom prst="rect">
                      <a:avLst/>
                    </a:prstGeom>
                  </pic:spPr>
                </pic:pic>
              </a:graphicData>
            </a:graphic>
          </wp:inline>
        </w:drawing>
      </w:r>
    </w:p>
    <w:p w14:paraId="60A3570A" w14:textId="77777777" w:rsidR="00237FAC" w:rsidRDefault="00605E87" w:rsidP="00237FAC">
      <w:pPr>
        <w:spacing w:after="0"/>
        <w:rPr>
          <w:rFonts w:ascii="Arial" w:hAnsi="Arial" w:cs="Arial"/>
          <w:b/>
          <w:sz w:val="20"/>
          <w:szCs w:val="20"/>
          <w:lang w:val="es-419"/>
        </w:rPr>
      </w:pPr>
      <w:r>
        <w:rPr>
          <w:rFonts w:ascii="Arial" w:hAnsi="Arial" w:cs="Arial"/>
          <w:sz w:val="10"/>
          <w:szCs w:val="10"/>
          <w:lang w:val="es-419"/>
        </w:rPr>
        <w:t xml:space="preserve">                   </w:t>
      </w:r>
      <w:r w:rsidR="00237FAC">
        <w:rPr>
          <w:rFonts w:ascii="Arial" w:hAnsi="Arial" w:cs="Arial"/>
          <w:sz w:val="10"/>
          <w:szCs w:val="10"/>
          <w:lang w:val="es-419"/>
        </w:rPr>
        <w:t xml:space="preserve">                          </w:t>
      </w:r>
      <w:r w:rsidRPr="00605E87">
        <w:rPr>
          <w:rFonts w:ascii="Arial" w:hAnsi="Arial" w:cs="Arial"/>
          <w:sz w:val="10"/>
          <w:szCs w:val="10"/>
          <w:lang w:val="es-419"/>
        </w:rPr>
        <w:t>Fuente: Equipo Auditor</w:t>
      </w:r>
    </w:p>
    <w:p w14:paraId="754F1211" w14:textId="77777777" w:rsidR="00237FAC" w:rsidRDefault="00237FAC" w:rsidP="00237FAC">
      <w:pPr>
        <w:spacing w:after="0"/>
        <w:jc w:val="both"/>
        <w:rPr>
          <w:rFonts w:ascii="Arial" w:eastAsia="Calibri" w:hAnsi="Arial" w:cs="Arial"/>
          <w:sz w:val="20"/>
          <w:szCs w:val="20"/>
          <w:lang w:val="es-CO" w:eastAsia="es-ES"/>
        </w:rPr>
      </w:pPr>
    </w:p>
    <w:p w14:paraId="7575048B" w14:textId="77777777" w:rsidR="00237FAC" w:rsidRPr="008574F3" w:rsidRDefault="00AD7E58" w:rsidP="00237FAC">
      <w:pPr>
        <w:spacing w:after="0"/>
        <w:jc w:val="both"/>
        <w:rPr>
          <w:rFonts w:ascii="Arial" w:eastAsia="Calibri" w:hAnsi="Arial" w:cs="Arial"/>
          <w:sz w:val="20"/>
          <w:szCs w:val="20"/>
          <w:lang w:val="es-CO" w:eastAsia="es-ES"/>
        </w:rPr>
      </w:pPr>
      <w:r w:rsidRPr="008574F3">
        <w:rPr>
          <w:rFonts w:ascii="Arial" w:eastAsia="Calibri" w:hAnsi="Arial" w:cs="Arial"/>
          <w:sz w:val="20"/>
          <w:szCs w:val="20"/>
          <w:lang w:val="es-CO" w:eastAsia="es-ES"/>
        </w:rPr>
        <w:t xml:space="preserve">El promedio de las 20 afirmaciones de las tres pruebas aplicadas a los funcionarios del proceso da como resultado 4.2 en una escala de 5/5.00 con una desviación estándar de 0.35. </w:t>
      </w:r>
      <w:r w:rsidR="0081249A" w:rsidRPr="008574F3">
        <w:rPr>
          <w:rFonts w:ascii="Arial" w:eastAsia="Calibri" w:hAnsi="Arial" w:cs="Arial"/>
          <w:sz w:val="20"/>
          <w:szCs w:val="20"/>
          <w:lang w:val="es-CO" w:eastAsia="es-ES"/>
        </w:rPr>
        <w:t xml:space="preserve">Del análisis de datos </w:t>
      </w:r>
      <w:r w:rsidR="006A2E84" w:rsidRPr="008574F3">
        <w:rPr>
          <w:rFonts w:ascii="Arial" w:eastAsia="Calibri" w:hAnsi="Arial" w:cs="Arial"/>
          <w:sz w:val="20"/>
          <w:szCs w:val="20"/>
          <w:lang w:val="es-CO" w:eastAsia="es-ES"/>
        </w:rPr>
        <w:t>se tiene que los servidores consideran que el mapa de riesgos del proceso (amenazas/peligros) está de acuerdo con las necesidades, dado que se ubica en el 86% del valor máximo posible en la escala de Likert, metodología utilizada en la herramienta de evaluación. Lo anterior significa que: “</w:t>
      </w:r>
      <w:r w:rsidR="006A2E84" w:rsidRPr="008574F3">
        <w:rPr>
          <w:rFonts w:ascii="Arial" w:eastAsia="Calibri" w:hAnsi="Arial" w:cs="Arial"/>
          <w:i/>
          <w:sz w:val="18"/>
          <w:szCs w:val="18"/>
          <w:lang w:val="es-CO" w:eastAsia="es-ES"/>
        </w:rPr>
        <w:t>Hay evidencia de un mapa de riesgos y modelo de administración de estos en plena producción que sustenta la toma de decisiones, que es inherente al proceso, actualizado y socializado adecuadamente</w:t>
      </w:r>
      <w:r w:rsidR="006A2E84" w:rsidRPr="008574F3">
        <w:rPr>
          <w:rFonts w:ascii="Arial" w:eastAsia="Calibri" w:hAnsi="Arial" w:cs="Arial"/>
          <w:sz w:val="18"/>
          <w:szCs w:val="18"/>
          <w:lang w:val="es-CO" w:eastAsia="es-ES"/>
        </w:rPr>
        <w:t>.”</w:t>
      </w:r>
    </w:p>
    <w:p w14:paraId="253C37C4" w14:textId="77777777" w:rsidR="00237FAC" w:rsidRPr="008574F3" w:rsidRDefault="00237FAC" w:rsidP="00237FAC">
      <w:pPr>
        <w:spacing w:after="0"/>
        <w:jc w:val="both"/>
        <w:rPr>
          <w:rFonts w:ascii="Arial" w:hAnsi="Arial" w:cs="Arial"/>
          <w:b/>
          <w:sz w:val="20"/>
          <w:szCs w:val="20"/>
          <w:lang w:val="es-419"/>
        </w:rPr>
      </w:pPr>
    </w:p>
    <w:p w14:paraId="4554070B" w14:textId="77777777" w:rsidR="009E1AD3" w:rsidRPr="008574F3" w:rsidRDefault="006A2E84" w:rsidP="00237FAC">
      <w:pPr>
        <w:jc w:val="both"/>
        <w:rPr>
          <w:rFonts w:ascii="Arial" w:eastAsia="Calibri" w:hAnsi="Arial" w:cs="Arial"/>
          <w:sz w:val="20"/>
          <w:szCs w:val="20"/>
          <w:lang w:val="es-CO" w:eastAsia="es-ES"/>
        </w:rPr>
      </w:pPr>
      <w:r w:rsidRPr="008574F3">
        <w:rPr>
          <w:rFonts w:ascii="Arial" w:eastAsia="Calibri" w:hAnsi="Arial" w:cs="Arial"/>
          <w:sz w:val="20"/>
          <w:szCs w:val="20"/>
          <w:lang w:val="es-CO" w:eastAsia="es-ES"/>
        </w:rPr>
        <w:t xml:space="preserve">De otra parte, </w:t>
      </w:r>
      <w:r w:rsidR="0081249A" w:rsidRPr="008574F3">
        <w:rPr>
          <w:rFonts w:ascii="Arial" w:eastAsia="Calibri" w:hAnsi="Arial" w:cs="Arial"/>
          <w:sz w:val="20"/>
          <w:szCs w:val="20"/>
          <w:lang w:val="es-CO" w:eastAsia="es-ES"/>
        </w:rPr>
        <w:t>e</w:t>
      </w:r>
      <w:r w:rsidRPr="008574F3">
        <w:rPr>
          <w:rFonts w:ascii="Arial" w:eastAsia="Calibri" w:hAnsi="Arial" w:cs="Arial"/>
          <w:sz w:val="20"/>
          <w:szCs w:val="20"/>
          <w:lang w:val="es-CO" w:eastAsia="es-ES"/>
        </w:rPr>
        <w:t xml:space="preserve">stos resultados evidencian la aplicación de la metodología institucional de identificación y administración de riesgos, pudiendo mejorar en aspectos como la comunicación y construcción colectiva al </w:t>
      </w:r>
      <w:r w:rsidR="0081249A" w:rsidRPr="008574F3">
        <w:rPr>
          <w:rFonts w:ascii="Arial" w:eastAsia="Calibri" w:hAnsi="Arial" w:cs="Arial"/>
          <w:sz w:val="20"/>
          <w:szCs w:val="20"/>
          <w:lang w:val="es-CO" w:eastAsia="es-ES"/>
        </w:rPr>
        <w:t>interior del grupo de trabajo</w:t>
      </w:r>
      <w:r w:rsidR="009E1AD3" w:rsidRPr="008574F3">
        <w:rPr>
          <w:rFonts w:ascii="Arial" w:eastAsia="Calibri" w:hAnsi="Arial" w:cs="Arial"/>
          <w:sz w:val="20"/>
          <w:szCs w:val="20"/>
          <w:lang w:val="es-CO" w:eastAsia="es-ES"/>
        </w:rPr>
        <w:t>, porque:</w:t>
      </w:r>
    </w:p>
    <w:p w14:paraId="12342A01" w14:textId="5EFE1E98" w:rsidR="006A2E84" w:rsidRPr="008574F3" w:rsidRDefault="006A2E84" w:rsidP="009E1AD3">
      <w:pPr>
        <w:ind w:left="708"/>
        <w:jc w:val="both"/>
        <w:rPr>
          <w:rFonts w:ascii="Arial" w:eastAsia="Calibri" w:hAnsi="Arial" w:cs="Arial"/>
          <w:sz w:val="20"/>
          <w:szCs w:val="20"/>
          <w:lang w:val="es-CO" w:eastAsia="es-ES"/>
        </w:rPr>
      </w:pPr>
      <w:r w:rsidRPr="008574F3">
        <w:rPr>
          <w:rFonts w:ascii="Arial" w:eastAsia="Calibri" w:hAnsi="Arial" w:cs="Arial"/>
          <w:i/>
          <w:sz w:val="18"/>
          <w:szCs w:val="18"/>
          <w:lang w:val="es-CO" w:eastAsia="es-ES"/>
        </w:rPr>
        <w:t>“De esta manera, se debe entender que la Administración del Riesgo, se convierte en una herramienta fundamental para las entidades, en el entendido de que su correcta aplicación tiene como resultado latente, el evitar la ocurrencia de hechos o situaciones que afecten o entorpezcan la gestión de las entidades. Igualmente, desde el punto de vista del control se debe entender como estratégica para la consecución de los propósitos trazados a través de los planes, programas, proyectos y procesos; por lo tanto, todas las entidades deben no sólo identificar los riesgos, sino que deben realizar el seguimiento periódico a los mismos, con el fin de que la gestión del riesgo sea efectiva, evitando así las consecuencias negativas de su materialización”</w:t>
      </w:r>
      <w:r w:rsidRPr="008574F3">
        <w:rPr>
          <w:rStyle w:val="Refdenotaalpie"/>
          <w:rFonts w:ascii="Arial" w:eastAsia="Calibri" w:hAnsi="Arial" w:cs="Arial"/>
          <w:i/>
          <w:sz w:val="18"/>
          <w:szCs w:val="18"/>
          <w:lang w:val="es-CO" w:eastAsia="es-ES"/>
        </w:rPr>
        <w:footnoteReference w:id="6"/>
      </w:r>
    </w:p>
    <w:p w14:paraId="763C2CFF" w14:textId="1E995D98" w:rsidR="006A2E84" w:rsidRPr="008574F3" w:rsidRDefault="006A2E84" w:rsidP="006A2E84">
      <w:pPr>
        <w:jc w:val="both"/>
        <w:rPr>
          <w:rFonts w:ascii="Arial" w:eastAsia="Calibri" w:hAnsi="Arial" w:cs="Arial"/>
          <w:sz w:val="20"/>
          <w:szCs w:val="20"/>
          <w:lang w:val="es-CO" w:eastAsia="es-ES"/>
        </w:rPr>
      </w:pPr>
      <w:r w:rsidRPr="008574F3">
        <w:rPr>
          <w:rFonts w:ascii="Arial" w:eastAsia="Calibri" w:hAnsi="Arial" w:cs="Arial"/>
          <w:sz w:val="20"/>
          <w:szCs w:val="20"/>
          <w:lang w:val="es-CO" w:eastAsia="es-ES"/>
        </w:rPr>
        <w:t xml:space="preserve">En MIPG, atendiendo la segunda línea de defensa a cargo de los responsables de los procesos, se establece que es un deber </w:t>
      </w:r>
      <w:r w:rsidRPr="008574F3">
        <w:rPr>
          <w:rFonts w:ascii="Arial" w:eastAsia="Calibri" w:hAnsi="Arial" w:cs="Arial"/>
          <w:i/>
          <w:sz w:val="18"/>
          <w:szCs w:val="18"/>
          <w:lang w:val="es-CO" w:eastAsia="es-ES"/>
        </w:rPr>
        <w:t>“Informar sobre la incidencia de los riesgos en el logro de objetivos y evaluar si la valoraci</w:t>
      </w:r>
      <w:r w:rsidR="0081249A" w:rsidRPr="008574F3">
        <w:rPr>
          <w:rFonts w:ascii="Arial" w:eastAsia="Calibri" w:hAnsi="Arial" w:cs="Arial"/>
          <w:i/>
          <w:sz w:val="18"/>
          <w:szCs w:val="18"/>
          <w:lang w:val="es-CO" w:eastAsia="es-ES"/>
        </w:rPr>
        <w:t>ón del riesgo es la apropiada; a</w:t>
      </w:r>
      <w:r w:rsidRPr="008574F3">
        <w:rPr>
          <w:rFonts w:ascii="Arial" w:eastAsia="Calibri" w:hAnsi="Arial" w:cs="Arial"/>
          <w:i/>
          <w:sz w:val="18"/>
          <w:szCs w:val="18"/>
          <w:lang w:val="es-CO" w:eastAsia="es-ES"/>
        </w:rPr>
        <w:t>segurar que las evaluaciones de riesgo y contr</w:t>
      </w:r>
      <w:r w:rsidR="0081249A" w:rsidRPr="008574F3">
        <w:rPr>
          <w:rFonts w:ascii="Arial" w:eastAsia="Calibri" w:hAnsi="Arial" w:cs="Arial"/>
          <w:i/>
          <w:sz w:val="18"/>
          <w:szCs w:val="18"/>
          <w:lang w:val="es-CO" w:eastAsia="es-ES"/>
        </w:rPr>
        <w:t>ol incluyan riesgos de fraude; a</w:t>
      </w:r>
      <w:r w:rsidRPr="008574F3">
        <w:rPr>
          <w:rFonts w:ascii="Arial" w:eastAsia="Calibri" w:hAnsi="Arial" w:cs="Arial"/>
          <w:i/>
          <w:sz w:val="18"/>
          <w:szCs w:val="18"/>
          <w:lang w:val="es-CO" w:eastAsia="es-ES"/>
        </w:rPr>
        <w:t>yudar a la primera línea con evaluaciones del impa</w:t>
      </w:r>
      <w:r w:rsidR="0081249A" w:rsidRPr="008574F3">
        <w:rPr>
          <w:rFonts w:ascii="Arial" w:eastAsia="Calibri" w:hAnsi="Arial" w:cs="Arial"/>
          <w:i/>
          <w:sz w:val="18"/>
          <w:szCs w:val="18"/>
          <w:lang w:val="es-CO" w:eastAsia="es-ES"/>
        </w:rPr>
        <w:t>cto de los cambios en el SCI; m</w:t>
      </w:r>
      <w:r w:rsidRPr="008574F3">
        <w:rPr>
          <w:rFonts w:ascii="Arial" w:eastAsia="Calibri" w:hAnsi="Arial" w:cs="Arial"/>
          <w:i/>
          <w:sz w:val="18"/>
          <w:szCs w:val="18"/>
          <w:lang w:val="es-CO" w:eastAsia="es-ES"/>
        </w:rPr>
        <w:t>onitorear cambios en el riesgo legal, regulatorio y de cumplimiento</w:t>
      </w:r>
      <w:r w:rsidR="00EE6AFF" w:rsidRPr="008574F3">
        <w:rPr>
          <w:rFonts w:ascii="Arial" w:eastAsia="Calibri" w:hAnsi="Arial" w:cs="Arial"/>
          <w:i/>
          <w:sz w:val="18"/>
          <w:szCs w:val="18"/>
          <w:lang w:val="es-CO" w:eastAsia="es-ES"/>
        </w:rPr>
        <w:t>”</w:t>
      </w:r>
      <w:r w:rsidRPr="008574F3">
        <w:rPr>
          <w:rFonts w:ascii="Arial" w:eastAsia="Calibri" w:hAnsi="Arial" w:cs="Arial"/>
          <w:i/>
          <w:sz w:val="18"/>
          <w:szCs w:val="18"/>
          <w:lang w:val="es-CO" w:eastAsia="es-ES"/>
        </w:rPr>
        <w:t>.</w:t>
      </w:r>
    </w:p>
    <w:p w14:paraId="7D971B29" w14:textId="5B0C9922" w:rsidR="006A2E84" w:rsidRPr="008574F3" w:rsidRDefault="006A2E84" w:rsidP="006A2E84">
      <w:pPr>
        <w:spacing w:after="0"/>
        <w:jc w:val="both"/>
        <w:rPr>
          <w:rFonts w:ascii="Arial" w:eastAsia="Calibri" w:hAnsi="Arial" w:cs="Arial"/>
          <w:sz w:val="20"/>
          <w:szCs w:val="20"/>
          <w:lang w:val="es-CO" w:eastAsia="es-ES"/>
        </w:rPr>
      </w:pPr>
      <w:r w:rsidRPr="008574F3">
        <w:rPr>
          <w:rFonts w:ascii="Arial" w:hAnsi="Arial" w:cs="Arial"/>
          <w:sz w:val="20"/>
          <w:szCs w:val="20"/>
          <w:lang w:val="es-419"/>
        </w:rPr>
        <w:t>Al consultar los mapas de riesgos del proceso de</w:t>
      </w:r>
      <w:r w:rsidR="001C6EC9" w:rsidRPr="008574F3">
        <w:rPr>
          <w:rFonts w:ascii="Arial" w:eastAsia="Calibri" w:hAnsi="Arial" w:cs="Arial"/>
          <w:sz w:val="20"/>
          <w:szCs w:val="20"/>
          <w:lang w:val="es-CO" w:eastAsia="es-ES"/>
        </w:rPr>
        <w:t xml:space="preserve"> G</w:t>
      </w:r>
      <w:r w:rsidRPr="008574F3">
        <w:rPr>
          <w:rFonts w:ascii="Arial" w:eastAsia="Calibri" w:hAnsi="Arial" w:cs="Arial"/>
          <w:sz w:val="20"/>
          <w:szCs w:val="20"/>
          <w:lang w:val="es-CO" w:eastAsia="es-ES"/>
        </w:rPr>
        <w:t xml:space="preserve">estión </w:t>
      </w:r>
      <w:r w:rsidR="001C6EC9" w:rsidRPr="008574F3">
        <w:rPr>
          <w:rFonts w:ascii="Arial" w:eastAsia="Calibri" w:hAnsi="Arial" w:cs="Arial"/>
          <w:sz w:val="20"/>
          <w:szCs w:val="20"/>
          <w:lang w:val="es-CO" w:eastAsia="es-ES"/>
        </w:rPr>
        <w:t>Financiera - Administración P</w:t>
      </w:r>
      <w:r w:rsidRPr="008574F3">
        <w:rPr>
          <w:rFonts w:ascii="Arial" w:eastAsia="Calibri" w:hAnsi="Arial" w:cs="Arial"/>
          <w:sz w:val="20"/>
          <w:szCs w:val="20"/>
          <w:lang w:val="es-CO" w:eastAsia="es-ES"/>
        </w:rPr>
        <w:t>resupuestal</w:t>
      </w:r>
      <w:r w:rsidRPr="008574F3">
        <w:rPr>
          <w:rFonts w:ascii="Arial" w:hAnsi="Arial" w:cs="Arial"/>
          <w:sz w:val="20"/>
          <w:szCs w:val="20"/>
          <w:lang w:val="es-419"/>
        </w:rPr>
        <w:t xml:space="preserve"> se observa que el proceso tiene identificados</w:t>
      </w:r>
      <w:r w:rsidR="00163FC2" w:rsidRPr="008574F3">
        <w:rPr>
          <w:rFonts w:ascii="Arial" w:hAnsi="Arial" w:cs="Arial"/>
          <w:sz w:val="20"/>
          <w:szCs w:val="20"/>
          <w:lang w:val="es-419"/>
        </w:rPr>
        <w:t xml:space="preserve"> cinco</w:t>
      </w:r>
      <w:r w:rsidRPr="008574F3">
        <w:rPr>
          <w:rFonts w:ascii="Arial" w:hAnsi="Arial" w:cs="Arial"/>
          <w:sz w:val="20"/>
          <w:szCs w:val="20"/>
          <w:lang w:val="es-419"/>
        </w:rPr>
        <w:t xml:space="preserve"> </w:t>
      </w:r>
      <w:r w:rsidR="00163FC2" w:rsidRPr="008574F3">
        <w:rPr>
          <w:rFonts w:ascii="Arial" w:hAnsi="Arial" w:cs="Arial"/>
          <w:sz w:val="20"/>
          <w:szCs w:val="20"/>
          <w:lang w:val="es-419"/>
        </w:rPr>
        <w:t>(5)</w:t>
      </w:r>
      <w:r w:rsidR="001C6EC9" w:rsidRPr="008574F3">
        <w:rPr>
          <w:rFonts w:ascii="Arial" w:hAnsi="Arial" w:cs="Arial"/>
          <w:sz w:val="20"/>
          <w:szCs w:val="20"/>
          <w:lang w:val="es-419"/>
        </w:rPr>
        <w:t xml:space="preserve"> </w:t>
      </w:r>
      <w:r w:rsidRPr="008574F3">
        <w:rPr>
          <w:rFonts w:ascii="Arial" w:hAnsi="Arial" w:cs="Arial"/>
          <w:sz w:val="20"/>
          <w:szCs w:val="20"/>
          <w:lang w:val="es-419"/>
        </w:rPr>
        <w:t>riesgos de gestión</w:t>
      </w:r>
      <w:r w:rsidR="00163FC2" w:rsidRPr="008574F3">
        <w:rPr>
          <w:rFonts w:ascii="Arial" w:hAnsi="Arial" w:cs="Arial"/>
          <w:sz w:val="20"/>
          <w:szCs w:val="20"/>
          <w:lang w:val="es-419"/>
        </w:rPr>
        <w:t xml:space="preserve">. </w:t>
      </w:r>
      <w:r w:rsidR="0081249A" w:rsidRPr="008574F3">
        <w:rPr>
          <w:rFonts w:ascii="Arial" w:hAnsi="Arial" w:cs="Arial"/>
          <w:sz w:val="20"/>
          <w:szCs w:val="20"/>
          <w:lang w:val="es-419"/>
        </w:rPr>
        <w:t>D</w:t>
      </w:r>
      <w:r w:rsidRPr="008574F3">
        <w:rPr>
          <w:rFonts w:ascii="Arial" w:eastAsia="Calibri" w:hAnsi="Arial" w:cs="Arial"/>
          <w:sz w:val="20"/>
          <w:szCs w:val="20"/>
          <w:lang w:val="es-CO" w:eastAsia="es-ES"/>
        </w:rPr>
        <w:t>e igual manera</w:t>
      </w:r>
      <w:r w:rsidR="0081249A" w:rsidRPr="008574F3">
        <w:rPr>
          <w:rFonts w:ascii="Arial" w:eastAsia="Calibri" w:hAnsi="Arial" w:cs="Arial"/>
          <w:sz w:val="20"/>
          <w:szCs w:val="20"/>
          <w:lang w:val="es-CO" w:eastAsia="es-ES"/>
        </w:rPr>
        <w:t>,</w:t>
      </w:r>
      <w:r w:rsidRPr="008574F3">
        <w:rPr>
          <w:rFonts w:ascii="Arial" w:eastAsia="Calibri" w:hAnsi="Arial" w:cs="Arial"/>
          <w:sz w:val="20"/>
          <w:szCs w:val="20"/>
          <w:lang w:val="es-CO" w:eastAsia="es-ES"/>
        </w:rPr>
        <w:t xml:space="preserve"> se evidencia actualiza</w:t>
      </w:r>
      <w:r w:rsidR="0081249A" w:rsidRPr="008574F3">
        <w:rPr>
          <w:rFonts w:ascii="Arial" w:eastAsia="Calibri" w:hAnsi="Arial" w:cs="Arial"/>
          <w:sz w:val="20"/>
          <w:szCs w:val="20"/>
          <w:lang w:val="es-CO" w:eastAsia="es-ES"/>
        </w:rPr>
        <w:t xml:space="preserve">ción de los riesgos del proceso, </w:t>
      </w:r>
      <w:r w:rsidRPr="008574F3">
        <w:rPr>
          <w:rFonts w:ascii="Arial" w:eastAsia="Calibri" w:hAnsi="Arial" w:cs="Arial"/>
          <w:sz w:val="20"/>
          <w:szCs w:val="20"/>
          <w:lang w:val="es-CO" w:eastAsia="es-ES"/>
        </w:rPr>
        <w:t xml:space="preserve">según </w:t>
      </w:r>
      <w:r w:rsidR="00A15CA8" w:rsidRPr="008574F3">
        <w:rPr>
          <w:rFonts w:ascii="Arial" w:eastAsia="Calibri" w:hAnsi="Arial" w:cs="Arial"/>
          <w:sz w:val="20"/>
          <w:szCs w:val="20"/>
          <w:lang w:val="es-CO" w:eastAsia="es-ES"/>
        </w:rPr>
        <w:t xml:space="preserve">lo indicado en el </w:t>
      </w:r>
      <w:r w:rsidRPr="008574F3">
        <w:rPr>
          <w:rFonts w:ascii="Arial" w:eastAsia="Calibri" w:hAnsi="Arial" w:cs="Arial"/>
          <w:sz w:val="20"/>
          <w:szCs w:val="20"/>
          <w:lang w:val="es-CO" w:eastAsia="es-ES"/>
        </w:rPr>
        <w:t xml:space="preserve">acta </w:t>
      </w:r>
      <w:r w:rsidR="0081249A" w:rsidRPr="008574F3">
        <w:rPr>
          <w:rFonts w:ascii="Arial" w:eastAsia="Calibri" w:hAnsi="Arial" w:cs="Arial"/>
          <w:sz w:val="20"/>
          <w:szCs w:val="20"/>
          <w:lang w:val="es-CO" w:eastAsia="es-ES"/>
        </w:rPr>
        <w:t xml:space="preserve">del 30 de </w:t>
      </w:r>
      <w:r w:rsidRPr="008574F3">
        <w:rPr>
          <w:rFonts w:ascii="Arial" w:eastAsia="Calibri" w:hAnsi="Arial" w:cs="Arial"/>
          <w:sz w:val="20"/>
          <w:szCs w:val="20"/>
          <w:lang w:val="es-CO" w:eastAsia="es-ES"/>
        </w:rPr>
        <w:t>abril de 2018 especificando según su clasificación</w:t>
      </w:r>
      <w:r w:rsidR="00A15CA8" w:rsidRPr="008574F3">
        <w:rPr>
          <w:rFonts w:ascii="Arial" w:eastAsia="Calibri" w:hAnsi="Arial" w:cs="Arial"/>
          <w:sz w:val="20"/>
          <w:szCs w:val="20"/>
          <w:lang w:val="es-CO" w:eastAsia="es-ES"/>
        </w:rPr>
        <w:t xml:space="preserve">, </w:t>
      </w:r>
      <w:r w:rsidR="00237FAC" w:rsidRPr="008574F3">
        <w:rPr>
          <w:rFonts w:ascii="Arial" w:eastAsia="Calibri" w:hAnsi="Arial" w:cs="Arial"/>
          <w:sz w:val="20"/>
          <w:szCs w:val="20"/>
          <w:lang w:val="es-CO" w:eastAsia="es-ES"/>
        </w:rPr>
        <w:t>así</w:t>
      </w:r>
      <w:r w:rsidRPr="008574F3">
        <w:rPr>
          <w:rFonts w:ascii="Arial" w:eastAsia="Calibri" w:hAnsi="Arial" w:cs="Arial"/>
          <w:sz w:val="20"/>
          <w:szCs w:val="20"/>
          <w:lang w:val="es-CO" w:eastAsia="es-ES"/>
        </w:rPr>
        <w:t xml:space="preserve">: </w:t>
      </w:r>
    </w:p>
    <w:p w14:paraId="28F9DCB9" w14:textId="77777777" w:rsidR="00237FAC" w:rsidRPr="008574F3" w:rsidRDefault="00237FAC" w:rsidP="006A2E84">
      <w:pPr>
        <w:spacing w:after="0"/>
        <w:jc w:val="both"/>
        <w:rPr>
          <w:rFonts w:ascii="Arial" w:eastAsia="Calibri" w:hAnsi="Arial" w:cs="Arial"/>
          <w:sz w:val="20"/>
          <w:szCs w:val="20"/>
          <w:lang w:val="es-CO" w:eastAsia="es-ES"/>
        </w:rPr>
      </w:pPr>
    </w:p>
    <w:p w14:paraId="14955D2E" w14:textId="77777777" w:rsidR="006A2E84" w:rsidRPr="008574F3" w:rsidRDefault="006A2E84" w:rsidP="006A2E84">
      <w:pPr>
        <w:jc w:val="both"/>
        <w:rPr>
          <w:rFonts w:ascii="Arial" w:eastAsia="Calibri" w:hAnsi="Arial" w:cs="Arial"/>
          <w:i/>
          <w:sz w:val="20"/>
          <w:szCs w:val="20"/>
          <w:lang w:val="es-CO" w:eastAsia="es-ES"/>
        </w:rPr>
      </w:pPr>
      <w:r w:rsidRPr="008574F3">
        <w:rPr>
          <w:rFonts w:ascii="Arial" w:eastAsia="Calibri" w:hAnsi="Arial" w:cs="Arial"/>
          <w:i/>
          <w:sz w:val="20"/>
          <w:szCs w:val="20"/>
          <w:lang w:val="es-CO" w:eastAsia="es-ES"/>
        </w:rPr>
        <w:lastRenderedPageBreak/>
        <w:t xml:space="preserve">Riesgos de gestión: </w:t>
      </w:r>
    </w:p>
    <w:p w14:paraId="41247B7D" w14:textId="77777777" w:rsidR="006A2E84" w:rsidRPr="008574F3" w:rsidRDefault="006A2E84" w:rsidP="009B04EB">
      <w:pPr>
        <w:pStyle w:val="Prrafodelista"/>
        <w:numPr>
          <w:ilvl w:val="0"/>
          <w:numId w:val="25"/>
        </w:numPr>
        <w:jc w:val="both"/>
        <w:rPr>
          <w:rFonts w:ascii="Arial" w:eastAsia="Calibri" w:hAnsi="Arial" w:cs="Arial"/>
          <w:sz w:val="20"/>
          <w:szCs w:val="20"/>
          <w:lang w:val="es-CO" w:eastAsia="es-ES"/>
        </w:rPr>
      </w:pPr>
      <w:r w:rsidRPr="008574F3">
        <w:rPr>
          <w:rFonts w:ascii="Arial" w:eastAsia="Calibri" w:hAnsi="Arial" w:cs="Arial"/>
          <w:sz w:val="20"/>
          <w:szCs w:val="20"/>
          <w:lang w:val="es-CO" w:eastAsia="es-ES"/>
        </w:rPr>
        <w:t>Errores en las solicitudes del PAC por inexactitudes reportadas por las dependencias.</w:t>
      </w:r>
    </w:p>
    <w:p w14:paraId="2FA232B8" w14:textId="40104CBB" w:rsidR="006A2E84" w:rsidRPr="008574F3" w:rsidRDefault="00A15CA8" w:rsidP="009B04EB">
      <w:pPr>
        <w:pStyle w:val="Prrafodelista"/>
        <w:numPr>
          <w:ilvl w:val="0"/>
          <w:numId w:val="25"/>
        </w:numPr>
        <w:jc w:val="both"/>
        <w:rPr>
          <w:rFonts w:ascii="Arial" w:eastAsia="Calibri" w:hAnsi="Arial" w:cs="Arial"/>
          <w:sz w:val="20"/>
          <w:szCs w:val="20"/>
          <w:lang w:val="es-CO" w:eastAsia="es-ES"/>
        </w:rPr>
      </w:pPr>
      <w:r w:rsidRPr="008574F3">
        <w:rPr>
          <w:rFonts w:ascii="Arial" w:eastAsia="Calibri" w:hAnsi="Arial" w:cs="Arial"/>
          <w:sz w:val="20"/>
          <w:szCs w:val="20"/>
          <w:lang w:val="es-CO" w:eastAsia="es-ES"/>
        </w:rPr>
        <w:t>Riesgo</w:t>
      </w:r>
      <w:r w:rsidR="006A61E9" w:rsidRPr="008574F3">
        <w:rPr>
          <w:rFonts w:ascii="Arial" w:eastAsia="Calibri" w:hAnsi="Arial" w:cs="Arial"/>
          <w:sz w:val="20"/>
          <w:szCs w:val="20"/>
          <w:lang w:val="es-CO" w:eastAsia="es-ES"/>
        </w:rPr>
        <w:t xml:space="preserve">s de </w:t>
      </w:r>
      <w:r w:rsidRPr="008574F3">
        <w:rPr>
          <w:rFonts w:ascii="Arial" w:eastAsia="Calibri" w:hAnsi="Arial" w:cs="Arial"/>
          <w:sz w:val="20"/>
          <w:szCs w:val="20"/>
          <w:lang w:val="es-CO" w:eastAsia="es-ES"/>
        </w:rPr>
        <w:t>i</w:t>
      </w:r>
      <w:r w:rsidR="006A2E84" w:rsidRPr="008574F3">
        <w:rPr>
          <w:rFonts w:ascii="Arial" w:eastAsia="Calibri" w:hAnsi="Arial" w:cs="Arial"/>
          <w:sz w:val="20"/>
          <w:szCs w:val="20"/>
          <w:lang w:val="es-CO" w:eastAsia="es-ES"/>
        </w:rPr>
        <w:t>ncumplimientos con la expedición del CDP y RP.</w:t>
      </w:r>
    </w:p>
    <w:p w14:paraId="680298B5" w14:textId="77777777" w:rsidR="006A2E84" w:rsidRPr="008574F3" w:rsidRDefault="006A2E84" w:rsidP="009B04EB">
      <w:pPr>
        <w:pStyle w:val="Prrafodelista"/>
        <w:numPr>
          <w:ilvl w:val="0"/>
          <w:numId w:val="25"/>
        </w:numPr>
        <w:jc w:val="both"/>
        <w:rPr>
          <w:rFonts w:ascii="Arial" w:eastAsia="Calibri" w:hAnsi="Arial" w:cs="Arial"/>
          <w:sz w:val="20"/>
          <w:szCs w:val="20"/>
          <w:lang w:val="es-CO" w:eastAsia="es-ES"/>
        </w:rPr>
      </w:pPr>
      <w:r w:rsidRPr="008574F3">
        <w:rPr>
          <w:rFonts w:ascii="Arial" w:eastAsia="Calibri" w:hAnsi="Arial" w:cs="Arial"/>
          <w:sz w:val="20"/>
          <w:szCs w:val="20"/>
          <w:lang w:val="es-CO" w:eastAsia="es-ES"/>
        </w:rPr>
        <w:t>Incumplimiento por omisión en la constitución del rezago presupuestal (reservas y CXP).</w:t>
      </w:r>
    </w:p>
    <w:p w14:paraId="6641CA79" w14:textId="77777777" w:rsidR="006A2E84" w:rsidRPr="008574F3" w:rsidRDefault="00A15CA8" w:rsidP="009B04EB">
      <w:pPr>
        <w:pStyle w:val="Prrafodelista"/>
        <w:numPr>
          <w:ilvl w:val="0"/>
          <w:numId w:val="25"/>
        </w:numPr>
        <w:jc w:val="both"/>
        <w:rPr>
          <w:rFonts w:ascii="Arial" w:eastAsia="Calibri" w:hAnsi="Arial" w:cs="Arial"/>
          <w:i/>
          <w:sz w:val="20"/>
          <w:szCs w:val="20"/>
          <w:lang w:val="es-CO" w:eastAsia="es-ES"/>
        </w:rPr>
      </w:pPr>
      <w:r w:rsidRPr="008574F3">
        <w:rPr>
          <w:rFonts w:ascii="Arial" w:eastAsia="Calibri" w:hAnsi="Arial" w:cs="Arial"/>
          <w:sz w:val="20"/>
          <w:szCs w:val="20"/>
          <w:lang w:val="es-CO" w:eastAsia="es-ES"/>
        </w:rPr>
        <w:t>Pérdida parcial o total de la c</w:t>
      </w:r>
      <w:r w:rsidR="006A2E84" w:rsidRPr="008574F3">
        <w:rPr>
          <w:rFonts w:ascii="Arial" w:eastAsia="Calibri" w:hAnsi="Arial" w:cs="Arial"/>
          <w:sz w:val="20"/>
          <w:szCs w:val="20"/>
          <w:lang w:val="es-CO" w:eastAsia="es-ES"/>
        </w:rPr>
        <w:t>o</w:t>
      </w:r>
      <w:r w:rsidRPr="008574F3">
        <w:rPr>
          <w:rFonts w:ascii="Arial" w:eastAsia="Calibri" w:hAnsi="Arial" w:cs="Arial"/>
          <w:sz w:val="20"/>
          <w:szCs w:val="20"/>
          <w:lang w:val="es-CO" w:eastAsia="es-ES"/>
        </w:rPr>
        <w:t>nfidencialidad, integridad y/o d</w:t>
      </w:r>
      <w:r w:rsidR="006A2E84" w:rsidRPr="008574F3">
        <w:rPr>
          <w:rFonts w:ascii="Arial" w:eastAsia="Calibri" w:hAnsi="Arial" w:cs="Arial"/>
          <w:sz w:val="20"/>
          <w:szCs w:val="20"/>
          <w:lang w:val="es-CO" w:eastAsia="es-ES"/>
        </w:rPr>
        <w:t xml:space="preserve">isponibilidad de los sistemas de información y/o la información registrada en documento físico o </w:t>
      </w:r>
      <w:r w:rsidR="001C6EC9" w:rsidRPr="008574F3">
        <w:rPr>
          <w:rFonts w:ascii="Arial" w:eastAsia="Calibri" w:hAnsi="Arial" w:cs="Arial"/>
          <w:sz w:val="20"/>
          <w:szCs w:val="20"/>
          <w:lang w:val="es-CO" w:eastAsia="es-ES"/>
        </w:rPr>
        <w:t>digital. A</w:t>
      </w:r>
      <w:r w:rsidR="006A2E84" w:rsidRPr="008574F3">
        <w:rPr>
          <w:rFonts w:ascii="Arial" w:eastAsia="Calibri" w:hAnsi="Arial" w:cs="Arial"/>
          <w:sz w:val="20"/>
          <w:szCs w:val="20"/>
          <w:lang w:val="es-CO" w:eastAsia="es-ES"/>
        </w:rPr>
        <w:t>ctivo 1 (GF-TES-001), activo 2 (GF-TES-005), activo 3 (GF-TES-006), activo 4 (GF-TES-010), activo 5 (GF-TES-011)".</w:t>
      </w:r>
    </w:p>
    <w:p w14:paraId="0501660B" w14:textId="77777777" w:rsidR="006A2E84" w:rsidRPr="008574F3" w:rsidRDefault="006A2E84" w:rsidP="009B04EB">
      <w:pPr>
        <w:pStyle w:val="Prrafodelista"/>
        <w:numPr>
          <w:ilvl w:val="0"/>
          <w:numId w:val="25"/>
        </w:numPr>
        <w:jc w:val="both"/>
        <w:rPr>
          <w:rFonts w:ascii="Arial" w:eastAsia="Calibri" w:hAnsi="Arial" w:cs="Arial"/>
          <w:i/>
          <w:sz w:val="20"/>
          <w:szCs w:val="20"/>
          <w:lang w:val="es-CO" w:eastAsia="es-ES"/>
        </w:rPr>
      </w:pPr>
      <w:r w:rsidRPr="008574F3">
        <w:rPr>
          <w:rFonts w:ascii="Arial" w:eastAsia="Calibri" w:hAnsi="Arial" w:cs="Arial"/>
          <w:sz w:val="20"/>
          <w:szCs w:val="20"/>
          <w:lang w:val="es-CO" w:eastAsia="es-ES"/>
        </w:rPr>
        <w:t>Pérdida de confidencialidad, integridad o disponibilidad ocasionada por la infiltración en el servidor, en el dispositivo de red y/o el sistema de información, debido al acceso no autorizado como consecuencia de captura de credenciales transferidas en texto claro, durante el ingreso vía web. Activo 1 (GF-IMP-011) y - Activo 2 (GF-GFI-014).</w:t>
      </w:r>
    </w:p>
    <w:p w14:paraId="6BB5E2BB" w14:textId="77777777" w:rsidR="00261EEF" w:rsidRPr="008574F3" w:rsidRDefault="00261EEF" w:rsidP="00261EEF">
      <w:pPr>
        <w:pStyle w:val="Prrafodelista"/>
        <w:spacing w:after="0"/>
        <w:jc w:val="both"/>
        <w:rPr>
          <w:rFonts w:ascii="Arial" w:eastAsia="Calibri" w:hAnsi="Arial" w:cs="Arial"/>
          <w:sz w:val="20"/>
          <w:szCs w:val="20"/>
          <w:lang w:val="es-CO" w:eastAsia="es-ES"/>
        </w:rPr>
      </w:pPr>
    </w:p>
    <w:p w14:paraId="4A69E6E3" w14:textId="77777777" w:rsidR="00A15CA8" w:rsidRPr="008574F3" w:rsidRDefault="006A2E84" w:rsidP="00237FAC">
      <w:pPr>
        <w:jc w:val="both"/>
        <w:rPr>
          <w:rFonts w:ascii="Arial" w:eastAsia="Calibri" w:hAnsi="Arial" w:cs="Arial"/>
          <w:sz w:val="18"/>
          <w:szCs w:val="18"/>
          <w:lang w:val="es-CO" w:eastAsia="es-ES"/>
        </w:rPr>
      </w:pPr>
      <w:r w:rsidRPr="008574F3">
        <w:rPr>
          <w:rFonts w:ascii="Arial" w:eastAsia="Calibri" w:hAnsi="Arial" w:cs="Arial"/>
          <w:sz w:val="20"/>
          <w:szCs w:val="20"/>
          <w:lang w:val="es-CO" w:eastAsia="es-ES"/>
        </w:rPr>
        <w:t>A la fecha el proceso reporta qu</w:t>
      </w:r>
      <w:r w:rsidR="00A15CA8" w:rsidRPr="008574F3">
        <w:rPr>
          <w:rFonts w:ascii="Arial" w:eastAsia="Calibri" w:hAnsi="Arial" w:cs="Arial"/>
          <w:sz w:val="20"/>
          <w:szCs w:val="20"/>
          <w:lang w:val="es-CO" w:eastAsia="es-ES"/>
        </w:rPr>
        <w:t xml:space="preserve">e no se ha materializado ninguno </w:t>
      </w:r>
      <w:r w:rsidRPr="008574F3">
        <w:rPr>
          <w:rFonts w:ascii="Arial" w:eastAsia="Calibri" w:hAnsi="Arial" w:cs="Arial"/>
          <w:sz w:val="20"/>
          <w:szCs w:val="20"/>
          <w:lang w:val="es-CO" w:eastAsia="es-ES"/>
        </w:rPr>
        <w:t>de los riesgos identificados; los riesgos del proceso hacen parte de los mapas de riesgos institucional y de corrupción publicados en</w:t>
      </w:r>
      <w:r w:rsidRPr="008574F3">
        <w:rPr>
          <w:rFonts w:ascii="Arial" w:eastAsia="Calibri" w:hAnsi="Arial" w:cs="Arial"/>
          <w:i/>
          <w:sz w:val="20"/>
          <w:szCs w:val="20"/>
          <w:lang w:val="es-CO" w:eastAsia="es-ES"/>
        </w:rPr>
        <w:t xml:space="preserve"> </w:t>
      </w:r>
      <w:r w:rsidR="001C6EC9" w:rsidRPr="008574F3">
        <w:rPr>
          <w:rFonts w:ascii="Arial" w:eastAsia="Calibri" w:hAnsi="Arial" w:cs="Arial"/>
          <w:i/>
          <w:sz w:val="18"/>
          <w:szCs w:val="18"/>
          <w:lang w:val="es-CO" w:eastAsia="es-ES"/>
        </w:rPr>
        <w:t>https://www.unidadvictimas.gov.co/es/mapa-de-riesgos-institucional-2018-version2/44501.</w:t>
      </w:r>
    </w:p>
    <w:p w14:paraId="2E1DC2A8" w14:textId="06E46EEC" w:rsidR="006B18D8" w:rsidRPr="008574F3" w:rsidRDefault="006B18D8" w:rsidP="006B18D8">
      <w:pPr>
        <w:spacing w:after="0"/>
        <w:jc w:val="both"/>
        <w:rPr>
          <w:rFonts w:ascii="Arial" w:eastAsia="Calibri" w:hAnsi="Arial" w:cs="Arial"/>
          <w:sz w:val="20"/>
          <w:szCs w:val="20"/>
          <w:lang w:val="es-CO" w:eastAsia="es-ES"/>
        </w:rPr>
      </w:pPr>
      <w:r w:rsidRPr="008574F3">
        <w:rPr>
          <w:rFonts w:ascii="Arial" w:hAnsi="Arial" w:cs="Arial"/>
          <w:sz w:val="20"/>
          <w:szCs w:val="20"/>
        </w:rPr>
        <w:t>Hay debilidad del Sistema de Control Interno en la identificación, administración y tratamiento del mapa de riesgos del procedimiento de Administración presupuestal.</w:t>
      </w:r>
      <w:r w:rsidRPr="008574F3">
        <w:rPr>
          <w:rFonts w:ascii="Arial" w:eastAsia="Calibri" w:hAnsi="Arial" w:cs="Arial"/>
          <w:sz w:val="20"/>
          <w:szCs w:val="20"/>
          <w:lang w:val="es-CO" w:eastAsia="es-ES"/>
        </w:rPr>
        <w:t xml:space="preserve"> Lo anterior no está conforme con lo dispuesto en los literales</w:t>
      </w:r>
      <w:r w:rsidRPr="008574F3">
        <w:t xml:space="preserve"> a</w:t>
      </w:r>
      <w:r w:rsidRPr="008574F3">
        <w:rPr>
          <w:rFonts w:ascii="Arial" w:eastAsia="Calibri" w:hAnsi="Arial" w:cs="Arial"/>
          <w:sz w:val="20"/>
          <w:szCs w:val="20"/>
          <w:lang w:val="es-CO" w:eastAsia="es-ES"/>
        </w:rPr>
        <w:t>), c) y f) del artículo 2° de la Ley 87 de 1993 concordante con lo dispuesto en la Guía de Riesgo del Departamento Administrativo de la Función Pública y la Secretaria de la Transparencia en lo referente a riesgos de corrupción, lo que aumenta el riesgo en la gestión de los quehaceres del procedimiento auditado, siendo las potenciales causas el desconocimiento de las normas y metodologías que regulan la gestión del riesgo ya sea por falta de una adecuada orientación o por la ausencia de procesos de capacitación sobre el tema.  (5.1.3)</w:t>
      </w:r>
    </w:p>
    <w:p w14:paraId="04800C62" w14:textId="77777777" w:rsidR="006B18D8" w:rsidRPr="008574F3" w:rsidRDefault="006B18D8" w:rsidP="006B18D8">
      <w:pPr>
        <w:spacing w:after="0"/>
        <w:jc w:val="both"/>
        <w:rPr>
          <w:rFonts w:ascii="Arial" w:eastAsia="Calibri" w:hAnsi="Arial" w:cs="Arial"/>
          <w:sz w:val="20"/>
          <w:szCs w:val="20"/>
          <w:lang w:val="es-CO" w:eastAsia="es-ES"/>
        </w:rPr>
      </w:pPr>
    </w:p>
    <w:p w14:paraId="5BCB80D5" w14:textId="42E33B19" w:rsidR="00E40214" w:rsidRPr="00A15CA8" w:rsidRDefault="006A2E84" w:rsidP="00211783">
      <w:pPr>
        <w:jc w:val="both"/>
        <w:rPr>
          <w:rFonts w:ascii="Arial" w:eastAsia="Calibri" w:hAnsi="Arial" w:cs="Arial"/>
          <w:sz w:val="20"/>
          <w:szCs w:val="20"/>
          <w:lang w:val="es-CO" w:eastAsia="es-ES"/>
        </w:rPr>
      </w:pPr>
      <w:r w:rsidRPr="008574F3">
        <w:rPr>
          <w:rFonts w:ascii="Arial" w:eastAsia="Calibri" w:hAnsi="Arial" w:cs="Arial"/>
          <w:sz w:val="20"/>
          <w:szCs w:val="20"/>
          <w:lang w:val="es-CO" w:eastAsia="es-ES"/>
        </w:rPr>
        <w:t>A manera de observación general</w:t>
      </w:r>
      <w:r w:rsidR="00577EA9" w:rsidRPr="008574F3">
        <w:rPr>
          <w:rFonts w:ascii="Arial" w:eastAsia="Calibri" w:hAnsi="Arial" w:cs="Arial"/>
          <w:sz w:val="20"/>
          <w:szCs w:val="20"/>
          <w:lang w:val="es-CO" w:eastAsia="es-ES"/>
        </w:rPr>
        <w:t xml:space="preserve">, </w:t>
      </w:r>
      <w:r w:rsidRPr="008574F3">
        <w:rPr>
          <w:rFonts w:ascii="Arial" w:eastAsia="Calibri" w:hAnsi="Arial" w:cs="Arial"/>
          <w:sz w:val="20"/>
          <w:szCs w:val="20"/>
          <w:lang w:val="es-CO" w:eastAsia="es-ES"/>
        </w:rPr>
        <w:t xml:space="preserve">es importante identificar los activos </w:t>
      </w:r>
      <w:r w:rsidR="00211783" w:rsidRPr="008574F3">
        <w:rPr>
          <w:rFonts w:ascii="Arial" w:eastAsia="Calibri" w:hAnsi="Arial" w:cs="Arial"/>
          <w:sz w:val="20"/>
          <w:szCs w:val="20"/>
          <w:lang w:val="es-CO" w:eastAsia="es-ES"/>
        </w:rPr>
        <w:t xml:space="preserve">citados en el riesgo: </w:t>
      </w:r>
      <w:r w:rsidR="00424E67" w:rsidRPr="008574F3">
        <w:rPr>
          <w:rFonts w:ascii="Arial" w:eastAsia="Calibri" w:hAnsi="Arial" w:cs="Arial"/>
          <w:i/>
          <w:sz w:val="18"/>
          <w:szCs w:val="18"/>
          <w:lang w:val="es-CO" w:eastAsia="es-ES"/>
        </w:rPr>
        <w:t>“Pérdida</w:t>
      </w:r>
      <w:r w:rsidR="00373470" w:rsidRPr="008574F3">
        <w:rPr>
          <w:rFonts w:ascii="Arial" w:eastAsia="Calibri" w:hAnsi="Arial" w:cs="Arial"/>
          <w:i/>
          <w:sz w:val="18"/>
          <w:szCs w:val="18"/>
          <w:lang w:val="es-CO" w:eastAsia="es-ES"/>
        </w:rPr>
        <w:t xml:space="preserve"> de confidencialidad, integridad o disponibilidad ocasionada por la infiltración en el servidor, en el dispositivo de red y/o el sistema de información, debido al acceso no autorizado como consecuencia de captura de credenciales transferidas en texto claro, durante el ingreso vía web.  Activo 1 (GF-IMP-011) y - Activo 2 (GF-GFI-014)</w:t>
      </w:r>
      <w:r w:rsidR="00424E67" w:rsidRPr="008574F3">
        <w:rPr>
          <w:rFonts w:ascii="Arial" w:eastAsia="Calibri" w:hAnsi="Arial" w:cs="Arial"/>
          <w:i/>
          <w:sz w:val="18"/>
          <w:szCs w:val="18"/>
          <w:lang w:val="es-CO" w:eastAsia="es-ES"/>
        </w:rPr>
        <w:t>.”</w:t>
      </w:r>
      <w:r w:rsidR="00211783" w:rsidRPr="008574F3">
        <w:rPr>
          <w:rFonts w:ascii="Arial" w:eastAsia="Calibri" w:hAnsi="Arial" w:cs="Arial"/>
          <w:i/>
          <w:sz w:val="20"/>
          <w:szCs w:val="20"/>
          <w:lang w:val="es-CO" w:eastAsia="es-ES"/>
        </w:rPr>
        <w:t>,</w:t>
      </w:r>
      <w:r w:rsidR="00E655DB" w:rsidRPr="008574F3">
        <w:rPr>
          <w:rFonts w:ascii="Arial" w:eastAsia="Calibri" w:hAnsi="Arial" w:cs="Arial"/>
          <w:sz w:val="20"/>
          <w:szCs w:val="20"/>
          <w:lang w:val="es-CO" w:eastAsia="es-ES"/>
        </w:rPr>
        <w:t xml:space="preserve"> </w:t>
      </w:r>
      <w:r w:rsidRPr="008574F3">
        <w:rPr>
          <w:rFonts w:ascii="Arial" w:eastAsia="Calibri" w:hAnsi="Arial" w:cs="Arial"/>
          <w:sz w:val="20"/>
          <w:szCs w:val="20"/>
          <w:lang w:val="es-CO" w:eastAsia="es-ES"/>
        </w:rPr>
        <w:t>por</w:t>
      </w:r>
      <w:r w:rsidR="00E655DB" w:rsidRPr="008574F3">
        <w:rPr>
          <w:rFonts w:ascii="Arial" w:eastAsia="Calibri" w:hAnsi="Arial" w:cs="Arial"/>
          <w:sz w:val="20"/>
          <w:szCs w:val="20"/>
          <w:lang w:val="es-CO" w:eastAsia="es-ES"/>
        </w:rPr>
        <w:t xml:space="preserve"> </w:t>
      </w:r>
      <w:r w:rsidRPr="008574F3">
        <w:rPr>
          <w:rFonts w:ascii="Arial" w:eastAsia="Calibri" w:hAnsi="Arial" w:cs="Arial"/>
          <w:sz w:val="20"/>
          <w:szCs w:val="20"/>
          <w:lang w:val="es-CO" w:eastAsia="es-ES"/>
        </w:rPr>
        <w:t>sus</w:t>
      </w:r>
      <w:r w:rsidR="00E655DB" w:rsidRPr="008574F3">
        <w:rPr>
          <w:rFonts w:ascii="Arial" w:eastAsia="Calibri" w:hAnsi="Arial" w:cs="Arial"/>
          <w:sz w:val="20"/>
          <w:szCs w:val="20"/>
          <w:lang w:val="es-CO" w:eastAsia="es-ES"/>
        </w:rPr>
        <w:t xml:space="preserve"> </w:t>
      </w:r>
      <w:r w:rsidRPr="008574F3">
        <w:rPr>
          <w:rFonts w:ascii="Arial" w:eastAsia="Calibri" w:hAnsi="Arial" w:cs="Arial"/>
          <w:sz w:val="20"/>
          <w:szCs w:val="20"/>
          <w:lang w:val="es-CO" w:eastAsia="es-ES"/>
        </w:rPr>
        <w:t>respectivos nombre</w:t>
      </w:r>
      <w:r w:rsidR="00211783" w:rsidRPr="008574F3">
        <w:rPr>
          <w:rFonts w:ascii="Arial" w:eastAsia="Calibri" w:hAnsi="Arial" w:cs="Arial"/>
          <w:sz w:val="20"/>
          <w:szCs w:val="20"/>
          <w:lang w:val="es-CO" w:eastAsia="es-ES"/>
        </w:rPr>
        <w:t>s</w:t>
      </w:r>
      <w:r w:rsidRPr="008574F3">
        <w:rPr>
          <w:rFonts w:ascii="Arial" w:eastAsia="Calibri" w:hAnsi="Arial" w:cs="Arial"/>
          <w:sz w:val="20"/>
          <w:szCs w:val="20"/>
          <w:lang w:val="es-CO" w:eastAsia="es-ES"/>
        </w:rPr>
        <w:t xml:space="preserve"> o características generales </w:t>
      </w:r>
      <w:r w:rsidR="00211783" w:rsidRPr="008574F3">
        <w:rPr>
          <w:rFonts w:ascii="Arial" w:eastAsia="Calibri" w:hAnsi="Arial" w:cs="Arial"/>
          <w:sz w:val="20"/>
          <w:szCs w:val="20"/>
          <w:lang w:val="es-CO" w:eastAsia="es-ES"/>
        </w:rPr>
        <w:t>y no solamente por sus códigos,</w:t>
      </w:r>
      <w:r w:rsidRPr="008574F3">
        <w:rPr>
          <w:rFonts w:ascii="Arial" w:eastAsia="Calibri" w:hAnsi="Arial" w:cs="Arial"/>
          <w:sz w:val="20"/>
          <w:szCs w:val="20"/>
          <w:lang w:val="es-CO" w:eastAsia="es-ES"/>
        </w:rPr>
        <w:t xml:space="preserve"> ya que esto dificult</w:t>
      </w:r>
      <w:r w:rsidR="00211783" w:rsidRPr="008574F3">
        <w:rPr>
          <w:rFonts w:ascii="Arial" w:eastAsia="Calibri" w:hAnsi="Arial" w:cs="Arial"/>
          <w:sz w:val="20"/>
          <w:szCs w:val="20"/>
          <w:lang w:val="es-CO" w:eastAsia="es-ES"/>
        </w:rPr>
        <w:t xml:space="preserve">a la lectura y </w:t>
      </w:r>
      <w:r w:rsidRPr="008574F3">
        <w:rPr>
          <w:rFonts w:ascii="Arial" w:eastAsia="Calibri" w:hAnsi="Arial" w:cs="Arial"/>
          <w:sz w:val="20"/>
          <w:szCs w:val="20"/>
          <w:lang w:val="es-CO" w:eastAsia="es-ES"/>
        </w:rPr>
        <w:t>comprensión del contexto general del riesgo y sus controles.</w:t>
      </w:r>
    </w:p>
    <w:p w14:paraId="291A5A93" w14:textId="77777777" w:rsidR="00E40214" w:rsidRDefault="00E40214" w:rsidP="00127090">
      <w:p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5.1.4</w:t>
      </w:r>
      <w:r>
        <w:rPr>
          <w:rFonts w:ascii="Arial" w:eastAsia="Calibri" w:hAnsi="Arial" w:cs="Arial"/>
          <w:b/>
          <w:sz w:val="20"/>
          <w:szCs w:val="20"/>
          <w:lang w:val="es-CO" w:eastAsia="es-ES"/>
        </w:rPr>
        <w:tab/>
        <w:t>Modelo de control</w:t>
      </w:r>
    </w:p>
    <w:p w14:paraId="02E19FA3" w14:textId="77777777" w:rsidR="001C6EC9" w:rsidRPr="009649CB" w:rsidRDefault="001C6EC9" w:rsidP="001C6EC9">
      <w:pPr>
        <w:spacing w:after="0"/>
        <w:jc w:val="both"/>
        <w:rPr>
          <w:rFonts w:ascii="Arial" w:eastAsia="Calibri" w:hAnsi="Arial" w:cs="Arial"/>
          <w:b/>
          <w:sz w:val="20"/>
          <w:szCs w:val="20"/>
          <w:lang w:val="es-CO" w:eastAsia="es-ES"/>
        </w:rPr>
      </w:pPr>
    </w:p>
    <w:p w14:paraId="24B5DD53" w14:textId="3795CA27" w:rsidR="001C6EC9" w:rsidRPr="009649CB" w:rsidRDefault="001C6EC9" w:rsidP="001C6EC9">
      <w:pPr>
        <w:jc w:val="both"/>
        <w:rPr>
          <w:rFonts w:ascii="Arial" w:eastAsia="Calibri" w:hAnsi="Arial" w:cs="Arial"/>
          <w:sz w:val="20"/>
          <w:szCs w:val="20"/>
          <w:lang w:val="es-CO" w:eastAsia="es-ES"/>
        </w:rPr>
      </w:pPr>
      <w:r w:rsidRPr="009649CB">
        <w:rPr>
          <w:rFonts w:ascii="Arial" w:eastAsia="Calibri" w:hAnsi="Arial" w:cs="Arial"/>
          <w:sz w:val="20"/>
          <w:szCs w:val="20"/>
          <w:lang w:val="es-CO" w:eastAsia="es-ES"/>
        </w:rPr>
        <w:t>Siguiendo los parámetros de la herramienta citada e</w:t>
      </w:r>
      <w:r>
        <w:rPr>
          <w:rFonts w:ascii="Arial" w:eastAsia="Calibri" w:hAnsi="Arial" w:cs="Arial"/>
          <w:sz w:val="20"/>
          <w:szCs w:val="20"/>
          <w:lang w:val="es-CO" w:eastAsia="es-ES"/>
        </w:rPr>
        <w:t xml:space="preserve">n los numerales anteriores, el </w:t>
      </w:r>
      <w:r w:rsidR="00EE6AFF">
        <w:rPr>
          <w:rFonts w:ascii="Arial" w:eastAsia="Calibri" w:hAnsi="Arial" w:cs="Arial"/>
          <w:sz w:val="20"/>
          <w:szCs w:val="20"/>
          <w:lang w:val="es-CO" w:eastAsia="es-ES"/>
        </w:rPr>
        <w:t>E</w:t>
      </w:r>
      <w:r>
        <w:rPr>
          <w:rFonts w:ascii="Arial" w:eastAsia="Calibri" w:hAnsi="Arial" w:cs="Arial"/>
          <w:sz w:val="20"/>
          <w:szCs w:val="20"/>
          <w:lang w:val="es-CO" w:eastAsia="es-ES"/>
        </w:rPr>
        <w:t xml:space="preserve">quipo </w:t>
      </w:r>
      <w:r w:rsidR="00EE6AFF">
        <w:rPr>
          <w:rFonts w:ascii="Arial" w:eastAsia="Calibri" w:hAnsi="Arial" w:cs="Arial"/>
          <w:sz w:val="20"/>
          <w:szCs w:val="20"/>
          <w:lang w:val="es-CO" w:eastAsia="es-ES"/>
        </w:rPr>
        <w:t>A</w:t>
      </w:r>
      <w:r>
        <w:rPr>
          <w:rFonts w:ascii="Arial" w:eastAsia="Calibri" w:hAnsi="Arial" w:cs="Arial"/>
          <w:sz w:val="20"/>
          <w:szCs w:val="20"/>
          <w:lang w:val="es-CO" w:eastAsia="es-ES"/>
        </w:rPr>
        <w:t xml:space="preserve">uditor la </w:t>
      </w:r>
      <w:r w:rsidRPr="009649CB">
        <w:rPr>
          <w:rFonts w:ascii="Arial" w:eastAsia="Calibri" w:hAnsi="Arial" w:cs="Arial"/>
          <w:sz w:val="20"/>
          <w:szCs w:val="20"/>
          <w:lang w:val="es-CO" w:eastAsia="es-ES"/>
        </w:rPr>
        <w:t>aplica para determinar el nivel de madurez del modelo de control inherente al proceso auditado. Los resultados obtenidos se muestran en la siguiente gráfica:</w:t>
      </w:r>
    </w:p>
    <w:p w14:paraId="6FF890F6" w14:textId="77777777" w:rsidR="00605E87" w:rsidRDefault="001C6EC9" w:rsidP="00605E87">
      <w:pPr>
        <w:spacing w:after="0"/>
        <w:jc w:val="center"/>
        <w:rPr>
          <w:rFonts w:ascii="Arial" w:hAnsi="Arial" w:cs="Arial"/>
          <w:sz w:val="10"/>
          <w:szCs w:val="10"/>
          <w:lang w:val="es-419"/>
        </w:rPr>
      </w:pPr>
      <w:r w:rsidRPr="009649CB">
        <w:rPr>
          <w:rFonts w:ascii="Arial" w:hAnsi="Arial" w:cs="Arial"/>
          <w:noProof/>
          <w:sz w:val="20"/>
          <w:szCs w:val="20"/>
          <w:lang w:eastAsia="es-ES"/>
        </w:rPr>
        <w:drawing>
          <wp:inline distT="0" distB="0" distL="0" distR="0" wp14:anchorId="43F71EAB" wp14:editId="01E13157">
            <wp:extent cx="5551805" cy="1576636"/>
            <wp:effectExtent l="0" t="0" r="0" b="508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76362" cy="1697204"/>
                    </a:xfrm>
                    <a:prstGeom prst="rect">
                      <a:avLst/>
                    </a:prstGeom>
                  </pic:spPr>
                </pic:pic>
              </a:graphicData>
            </a:graphic>
          </wp:inline>
        </w:drawing>
      </w:r>
    </w:p>
    <w:p w14:paraId="2DDE216F" w14:textId="1593B178" w:rsidR="001C6EC9" w:rsidRPr="009649CB" w:rsidRDefault="00605E87" w:rsidP="00605E87">
      <w:pPr>
        <w:spacing w:after="0"/>
        <w:rPr>
          <w:rFonts w:ascii="Arial" w:eastAsia="Calibri" w:hAnsi="Arial" w:cs="Arial"/>
          <w:sz w:val="20"/>
          <w:szCs w:val="20"/>
          <w:lang w:val="es-CO" w:eastAsia="es-ES"/>
        </w:rPr>
      </w:pPr>
      <w:r>
        <w:rPr>
          <w:rFonts w:ascii="Arial" w:hAnsi="Arial" w:cs="Arial"/>
          <w:sz w:val="10"/>
          <w:szCs w:val="10"/>
          <w:lang w:val="es-419"/>
        </w:rPr>
        <w:t xml:space="preserve">                                    </w:t>
      </w:r>
      <w:r w:rsidR="00237FAC">
        <w:rPr>
          <w:rFonts w:ascii="Arial" w:hAnsi="Arial" w:cs="Arial"/>
          <w:sz w:val="10"/>
          <w:szCs w:val="10"/>
          <w:lang w:val="es-419"/>
        </w:rPr>
        <w:t xml:space="preserve">            </w:t>
      </w:r>
      <w:r>
        <w:rPr>
          <w:rFonts w:ascii="Arial" w:hAnsi="Arial" w:cs="Arial"/>
          <w:sz w:val="10"/>
          <w:szCs w:val="10"/>
          <w:lang w:val="es-419"/>
        </w:rPr>
        <w:t xml:space="preserve"> </w:t>
      </w:r>
      <w:r w:rsidR="00237FAC">
        <w:rPr>
          <w:rFonts w:ascii="Arial" w:hAnsi="Arial" w:cs="Arial"/>
          <w:sz w:val="10"/>
          <w:szCs w:val="10"/>
          <w:lang w:val="es-419"/>
        </w:rPr>
        <w:t xml:space="preserve">     </w:t>
      </w:r>
      <w:r w:rsidRPr="00605E87">
        <w:rPr>
          <w:rFonts w:ascii="Arial" w:hAnsi="Arial" w:cs="Arial"/>
          <w:sz w:val="10"/>
          <w:szCs w:val="10"/>
          <w:lang w:val="es-419"/>
        </w:rPr>
        <w:t>Fuente: Equipo Auditor</w:t>
      </w:r>
    </w:p>
    <w:p w14:paraId="3DB560BD" w14:textId="77777777" w:rsidR="00605E87" w:rsidRDefault="00605E87" w:rsidP="001C6EC9">
      <w:pPr>
        <w:spacing w:after="0"/>
        <w:jc w:val="both"/>
        <w:rPr>
          <w:rFonts w:ascii="Arial" w:eastAsia="Calibri" w:hAnsi="Arial" w:cs="Arial"/>
          <w:sz w:val="20"/>
          <w:szCs w:val="20"/>
          <w:lang w:val="es-CO" w:eastAsia="es-ES"/>
        </w:rPr>
      </w:pPr>
    </w:p>
    <w:p w14:paraId="724CFC16" w14:textId="71762FDC" w:rsidR="001C6EC9" w:rsidRPr="00211783" w:rsidRDefault="001C6EC9" w:rsidP="001C6EC9">
      <w:pPr>
        <w:spacing w:after="0"/>
        <w:jc w:val="both"/>
        <w:rPr>
          <w:rFonts w:ascii="Arial" w:eastAsia="Calibri" w:hAnsi="Arial" w:cs="Arial"/>
          <w:b/>
          <w:i/>
          <w:sz w:val="20"/>
          <w:szCs w:val="20"/>
          <w:lang w:val="es-CO" w:eastAsia="es-ES"/>
        </w:rPr>
      </w:pPr>
      <w:r w:rsidRPr="009649CB">
        <w:rPr>
          <w:rFonts w:ascii="Arial" w:eastAsia="Calibri" w:hAnsi="Arial" w:cs="Arial"/>
          <w:sz w:val="20"/>
          <w:szCs w:val="20"/>
          <w:lang w:val="es-CO" w:eastAsia="es-ES"/>
        </w:rPr>
        <w:lastRenderedPageBreak/>
        <w:t>Del análisis de datos se tiene que los servidores consideran que el modelo de control inherente está de acuerdo con las necesidades, dado que se ubica en el 77% del valor máximo posible en la escala de Likert, metodología utilizada en la herramienta de evaluac</w:t>
      </w:r>
      <w:r w:rsidR="00211783">
        <w:rPr>
          <w:rFonts w:ascii="Arial" w:eastAsia="Calibri" w:hAnsi="Arial" w:cs="Arial"/>
          <w:sz w:val="20"/>
          <w:szCs w:val="20"/>
          <w:lang w:val="es-CO" w:eastAsia="es-ES"/>
        </w:rPr>
        <w:t xml:space="preserve">ión. Lo anterior significa que </w:t>
      </w:r>
      <w:r w:rsidRPr="009457C6">
        <w:rPr>
          <w:rFonts w:ascii="Arial" w:eastAsia="Calibri" w:hAnsi="Arial" w:cs="Arial"/>
          <w:i/>
          <w:sz w:val="18"/>
          <w:szCs w:val="18"/>
          <w:lang w:val="es-CO" w:eastAsia="es-ES"/>
        </w:rPr>
        <w:t>“Hay evidencia que el modelo de control esta adecuadamente estructurado y se usa como fuente de información del proceso para corregir las deviaciones que se presentan”.</w:t>
      </w:r>
    </w:p>
    <w:p w14:paraId="0E6FD87F" w14:textId="77777777" w:rsidR="001C6EC9" w:rsidRPr="009649CB" w:rsidRDefault="001C6EC9" w:rsidP="001C6EC9">
      <w:pPr>
        <w:spacing w:after="0"/>
        <w:jc w:val="both"/>
        <w:rPr>
          <w:rFonts w:ascii="Arial" w:eastAsia="Calibri" w:hAnsi="Arial" w:cs="Arial"/>
          <w:b/>
          <w:sz w:val="20"/>
          <w:szCs w:val="20"/>
          <w:lang w:val="es-CO" w:eastAsia="es-ES"/>
        </w:rPr>
      </w:pPr>
    </w:p>
    <w:p w14:paraId="69BCC68D" w14:textId="77777777" w:rsidR="00C9633B" w:rsidRDefault="001C6EC9" w:rsidP="001C6EC9">
      <w:pPr>
        <w:jc w:val="both"/>
        <w:rPr>
          <w:rFonts w:ascii="Arial" w:eastAsia="Calibri" w:hAnsi="Arial" w:cs="Arial"/>
          <w:sz w:val="20"/>
          <w:szCs w:val="20"/>
          <w:lang w:val="es-CO" w:eastAsia="es-ES"/>
        </w:rPr>
      </w:pPr>
      <w:r w:rsidRPr="009649CB">
        <w:rPr>
          <w:rFonts w:ascii="Arial" w:eastAsia="Calibri" w:hAnsi="Arial" w:cs="Arial"/>
          <w:sz w:val="20"/>
          <w:szCs w:val="20"/>
          <w:lang w:val="es-CO" w:eastAsia="es-ES"/>
        </w:rPr>
        <w:t>De otra parte, el promedio de las 20 afirmaciones de las tres pruebas aplicadas a los funcionarios del proceso da como resultado 3.</w:t>
      </w:r>
      <w:r w:rsidR="00AD7E58">
        <w:rPr>
          <w:rFonts w:ascii="Arial" w:eastAsia="Calibri" w:hAnsi="Arial" w:cs="Arial"/>
          <w:sz w:val="20"/>
          <w:szCs w:val="20"/>
          <w:lang w:val="es-CO" w:eastAsia="es-ES"/>
        </w:rPr>
        <w:t>9</w:t>
      </w:r>
      <w:r w:rsidRPr="009649CB">
        <w:rPr>
          <w:rFonts w:ascii="Arial" w:eastAsia="Calibri" w:hAnsi="Arial" w:cs="Arial"/>
          <w:sz w:val="20"/>
          <w:szCs w:val="20"/>
          <w:lang w:val="es-CO" w:eastAsia="es-ES"/>
        </w:rPr>
        <w:t xml:space="preserve"> en una escala 5/5.00 con una desviación estándar de 0.</w:t>
      </w:r>
      <w:r w:rsidR="000739FB">
        <w:rPr>
          <w:rFonts w:ascii="Arial" w:eastAsia="Calibri" w:hAnsi="Arial" w:cs="Arial"/>
          <w:sz w:val="20"/>
          <w:szCs w:val="20"/>
          <w:lang w:val="es-CO" w:eastAsia="es-ES"/>
        </w:rPr>
        <w:t>482</w:t>
      </w:r>
      <w:r w:rsidR="000969A9">
        <w:rPr>
          <w:rFonts w:ascii="Arial" w:eastAsia="Calibri" w:hAnsi="Arial" w:cs="Arial"/>
          <w:sz w:val="20"/>
          <w:szCs w:val="20"/>
          <w:lang w:val="es-CO" w:eastAsia="es-ES"/>
        </w:rPr>
        <w:t xml:space="preserve">.  </w:t>
      </w:r>
    </w:p>
    <w:p w14:paraId="53BC2DEC" w14:textId="161BC141" w:rsidR="00021DD5" w:rsidRDefault="000969A9" w:rsidP="00021DD5">
      <w:pPr>
        <w:jc w:val="both"/>
        <w:rPr>
          <w:rFonts w:ascii="Arial" w:eastAsia="Calibri" w:hAnsi="Arial" w:cs="Arial"/>
          <w:sz w:val="20"/>
          <w:szCs w:val="20"/>
          <w:lang w:val="es-CO" w:eastAsia="es-ES"/>
        </w:rPr>
      </w:pPr>
      <w:r>
        <w:rPr>
          <w:rFonts w:ascii="Arial" w:eastAsia="Calibri" w:hAnsi="Arial" w:cs="Arial"/>
          <w:sz w:val="20"/>
          <w:szCs w:val="20"/>
          <w:lang w:val="es-CO" w:eastAsia="es-ES"/>
        </w:rPr>
        <w:t xml:space="preserve">Es así como el </w:t>
      </w:r>
      <w:r w:rsidR="002D0490">
        <w:rPr>
          <w:rFonts w:ascii="Arial" w:eastAsia="Calibri" w:hAnsi="Arial" w:cs="Arial"/>
          <w:sz w:val="20"/>
          <w:szCs w:val="20"/>
          <w:lang w:val="es-CO" w:eastAsia="es-ES"/>
        </w:rPr>
        <w:t>E</w:t>
      </w:r>
      <w:r>
        <w:rPr>
          <w:rFonts w:ascii="Arial" w:eastAsia="Calibri" w:hAnsi="Arial" w:cs="Arial"/>
          <w:sz w:val="20"/>
          <w:szCs w:val="20"/>
          <w:lang w:val="es-CO" w:eastAsia="es-ES"/>
        </w:rPr>
        <w:t xml:space="preserve">quipo </w:t>
      </w:r>
      <w:r w:rsidR="002D0490">
        <w:rPr>
          <w:rFonts w:ascii="Arial" w:eastAsia="Calibri" w:hAnsi="Arial" w:cs="Arial"/>
          <w:sz w:val="20"/>
          <w:szCs w:val="20"/>
          <w:lang w:val="es-CO" w:eastAsia="es-ES"/>
        </w:rPr>
        <w:t>A</w:t>
      </w:r>
      <w:r w:rsidR="001C6EC9" w:rsidRPr="009649CB">
        <w:rPr>
          <w:rFonts w:ascii="Arial" w:eastAsia="Calibri" w:hAnsi="Arial" w:cs="Arial"/>
          <w:sz w:val="20"/>
          <w:szCs w:val="20"/>
          <w:lang w:val="es-CO" w:eastAsia="es-ES"/>
        </w:rPr>
        <w:t xml:space="preserve">uditor vislumbra la </w:t>
      </w:r>
      <w:r w:rsidR="005A4D72">
        <w:rPr>
          <w:rFonts w:ascii="Arial" w:eastAsia="Calibri" w:hAnsi="Arial" w:cs="Arial"/>
          <w:sz w:val="20"/>
          <w:szCs w:val="20"/>
          <w:lang w:val="es-CO" w:eastAsia="es-ES"/>
        </w:rPr>
        <w:t>necesidad</w:t>
      </w:r>
      <w:r w:rsidR="001C6EC9" w:rsidRPr="009649CB">
        <w:rPr>
          <w:rFonts w:ascii="Arial" w:eastAsia="Calibri" w:hAnsi="Arial" w:cs="Arial"/>
          <w:sz w:val="20"/>
          <w:szCs w:val="20"/>
          <w:lang w:val="es-CO" w:eastAsia="es-ES"/>
        </w:rPr>
        <w:t xml:space="preserve"> de reforzar el sistema de control inherente al proceso </w:t>
      </w:r>
      <w:r w:rsidR="00950402">
        <w:rPr>
          <w:rFonts w:ascii="Arial" w:eastAsia="Calibri" w:hAnsi="Arial" w:cs="Arial"/>
          <w:sz w:val="20"/>
          <w:szCs w:val="20"/>
          <w:lang w:val="es-CO" w:eastAsia="es-ES"/>
        </w:rPr>
        <w:t>auditado</w:t>
      </w:r>
      <w:r w:rsidRPr="00561324">
        <w:rPr>
          <w:rFonts w:ascii="Arial" w:eastAsia="Calibri" w:hAnsi="Arial" w:cs="Arial"/>
          <w:sz w:val="20"/>
          <w:szCs w:val="20"/>
          <w:lang w:val="es-CO" w:eastAsia="es-ES"/>
        </w:rPr>
        <w:t>.</w:t>
      </w:r>
      <w:r w:rsidR="005A4D72" w:rsidRPr="00561324">
        <w:rPr>
          <w:rFonts w:ascii="Arial" w:eastAsia="Calibri" w:hAnsi="Arial" w:cs="Arial"/>
          <w:sz w:val="20"/>
          <w:szCs w:val="20"/>
          <w:lang w:val="es-CO" w:eastAsia="es-ES"/>
        </w:rPr>
        <w:t xml:space="preserve"> En esta medida el actuar del procedimiento no está conforme con lo dispuesto en el literal i) del artículo 4º de la Ley 87 de 1993.</w:t>
      </w:r>
      <w:r w:rsidR="00C9633B" w:rsidRPr="00561324">
        <w:rPr>
          <w:rFonts w:ascii="Arial" w:eastAsia="Calibri" w:hAnsi="Arial" w:cs="Arial"/>
          <w:i/>
          <w:sz w:val="20"/>
          <w:szCs w:val="20"/>
          <w:lang w:val="es-CO" w:eastAsia="es-ES"/>
        </w:rPr>
        <w:t xml:space="preserve"> </w:t>
      </w:r>
      <w:r w:rsidRPr="00561324">
        <w:rPr>
          <w:rFonts w:ascii="Arial" w:eastAsia="Calibri" w:hAnsi="Arial" w:cs="Arial"/>
          <w:sz w:val="20"/>
          <w:szCs w:val="20"/>
          <w:lang w:val="es-CO" w:eastAsia="es-ES"/>
        </w:rPr>
        <w:t xml:space="preserve">Para el </w:t>
      </w:r>
      <w:r w:rsidR="00EB5949" w:rsidRPr="00561324">
        <w:rPr>
          <w:rFonts w:ascii="Arial" w:eastAsia="Calibri" w:hAnsi="Arial" w:cs="Arial"/>
          <w:sz w:val="20"/>
          <w:szCs w:val="20"/>
          <w:lang w:val="es-CO" w:eastAsia="es-ES"/>
        </w:rPr>
        <w:t>E</w:t>
      </w:r>
      <w:r w:rsidRPr="00561324">
        <w:rPr>
          <w:rFonts w:ascii="Arial" w:eastAsia="Calibri" w:hAnsi="Arial" w:cs="Arial"/>
          <w:sz w:val="20"/>
          <w:szCs w:val="20"/>
          <w:lang w:val="es-CO" w:eastAsia="es-ES"/>
        </w:rPr>
        <w:t xml:space="preserve">quipo </w:t>
      </w:r>
      <w:r w:rsidR="00EB5949" w:rsidRPr="00561324">
        <w:rPr>
          <w:rFonts w:ascii="Arial" w:eastAsia="Calibri" w:hAnsi="Arial" w:cs="Arial"/>
          <w:sz w:val="20"/>
          <w:szCs w:val="20"/>
          <w:lang w:val="es-CO" w:eastAsia="es-ES"/>
        </w:rPr>
        <w:t>A</w:t>
      </w:r>
      <w:r w:rsidR="001C6EC9" w:rsidRPr="00561324">
        <w:rPr>
          <w:rFonts w:ascii="Arial" w:eastAsia="Calibri" w:hAnsi="Arial" w:cs="Arial"/>
          <w:sz w:val="20"/>
          <w:szCs w:val="20"/>
          <w:lang w:val="es-CO" w:eastAsia="es-ES"/>
        </w:rPr>
        <w:t xml:space="preserve">uditor es de vital importancia el componente de control aplicado </w:t>
      </w:r>
      <w:r w:rsidR="001C6EC9" w:rsidRPr="00561324">
        <w:rPr>
          <w:rFonts w:ascii="Arial" w:hAnsi="Arial" w:cs="Arial"/>
          <w:sz w:val="20"/>
          <w:szCs w:val="20"/>
          <w:lang w:val="es-419"/>
        </w:rPr>
        <w:t>al proceso de</w:t>
      </w:r>
      <w:r>
        <w:rPr>
          <w:rFonts w:ascii="Arial" w:eastAsia="Calibri" w:hAnsi="Arial" w:cs="Arial"/>
          <w:sz w:val="20"/>
          <w:szCs w:val="20"/>
          <w:lang w:val="es-CO" w:eastAsia="es-ES"/>
        </w:rPr>
        <w:t xml:space="preserve"> Gestión Financiera</w:t>
      </w:r>
      <w:r w:rsidR="00C9633B">
        <w:rPr>
          <w:rFonts w:ascii="Arial" w:eastAsia="Calibri" w:hAnsi="Arial" w:cs="Arial"/>
          <w:sz w:val="20"/>
          <w:szCs w:val="20"/>
          <w:lang w:val="es-CO" w:eastAsia="es-ES"/>
        </w:rPr>
        <w:t xml:space="preserve"> </w:t>
      </w:r>
      <w:r w:rsidR="001C6EC9">
        <w:rPr>
          <w:rFonts w:ascii="Arial" w:eastAsia="Calibri" w:hAnsi="Arial" w:cs="Arial"/>
          <w:sz w:val="20"/>
          <w:szCs w:val="20"/>
          <w:lang w:val="es-CO" w:eastAsia="es-ES"/>
        </w:rPr>
        <w:t>-</w:t>
      </w:r>
      <w:r w:rsidR="00C9633B">
        <w:rPr>
          <w:rFonts w:ascii="Arial" w:eastAsia="Calibri" w:hAnsi="Arial" w:cs="Arial"/>
          <w:sz w:val="20"/>
          <w:szCs w:val="20"/>
          <w:lang w:val="es-CO" w:eastAsia="es-ES"/>
        </w:rPr>
        <w:t xml:space="preserve"> </w:t>
      </w:r>
      <w:r w:rsidR="001C6EC9">
        <w:rPr>
          <w:rFonts w:ascii="Arial" w:eastAsia="Calibri" w:hAnsi="Arial" w:cs="Arial"/>
          <w:sz w:val="20"/>
          <w:szCs w:val="20"/>
          <w:lang w:val="es-CO" w:eastAsia="es-ES"/>
        </w:rPr>
        <w:t>Administración P</w:t>
      </w:r>
      <w:r>
        <w:rPr>
          <w:rFonts w:ascii="Arial" w:eastAsia="Calibri" w:hAnsi="Arial" w:cs="Arial"/>
          <w:sz w:val="20"/>
          <w:szCs w:val="20"/>
          <w:lang w:val="es-CO" w:eastAsia="es-ES"/>
        </w:rPr>
        <w:t xml:space="preserve">resupuestal </w:t>
      </w:r>
      <w:r w:rsidR="001C6EC9" w:rsidRPr="009649CB">
        <w:rPr>
          <w:rFonts w:ascii="Arial" w:eastAsia="Calibri" w:hAnsi="Arial" w:cs="Arial"/>
          <w:sz w:val="20"/>
          <w:szCs w:val="20"/>
          <w:lang w:val="es-CO" w:eastAsia="es-ES"/>
        </w:rPr>
        <w:t xml:space="preserve">en la administración de los recursos presupuestados para lograr los </w:t>
      </w:r>
      <w:r>
        <w:rPr>
          <w:rFonts w:ascii="Arial" w:eastAsia="Calibri" w:hAnsi="Arial" w:cs="Arial"/>
          <w:sz w:val="20"/>
          <w:szCs w:val="20"/>
          <w:lang w:val="es-CO" w:eastAsia="es-ES"/>
        </w:rPr>
        <w:t xml:space="preserve">resultados esperados, </w:t>
      </w:r>
      <w:r w:rsidR="001C6EC9" w:rsidRPr="009649CB">
        <w:rPr>
          <w:rFonts w:ascii="Arial" w:eastAsia="Calibri" w:hAnsi="Arial" w:cs="Arial"/>
          <w:sz w:val="20"/>
          <w:szCs w:val="20"/>
          <w:lang w:val="es-CO" w:eastAsia="es-ES"/>
        </w:rPr>
        <w:t>que satisfagan las necesida</w:t>
      </w:r>
      <w:r>
        <w:rPr>
          <w:rFonts w:ascii="Arial" w:eastAsia="Calibri" w:hAnsi="Arial" w:cs="Arial"/>
          <w:sz w:val="20"/>
          <w:szCs w:val="20"/>
          <w:lang w:val="es-CO" w:eastAsia="es-ES"/>
        </w:rPr>
        <w:t>des de los usuarios de la UARIV. Estos deben estar</w:t>
      </w:r>
      <w:r w:rsidR="001C6EC9" w:rsidRPr="009649CB">
        <w:rPr>
          <w:rFonts w:ascii="Arial" w:eastAsia="Calibri" w:hAnsi="Arial" w:cs="Arial"/>
          <w:sz w:val="20"/>
          <w:szCs w:val="20"/>
          <w:lang w:val="es-CO" w:eastAsia="es-ES"/>
        </w:rPr>
        <w:t xml:space="preserve"> enmarcados en controles fuertes a la hora de su gestión</w:t>
      </w:r>
      <w:r w:rsidR="00021DD5">
        <w:rPr>
          <w:rFonts w:ascii="Arial" w:eastAsia="Calibri" w:hAnsi="Arial" w:cs="Arial"/>
          <w:sz w:val="20"/>
          <w:szCs w:val="20"/>
          <w:lang w:val="es-CO" w:eastAsia="es-ES"/>
        </w:rPr>
        <w:t>.</w:t>
      </w:r>
    </w:p>
    <w:p w14:paraId="5CDAC48D" w14:textId="6C8F8C6C" w:rsidR="00C9633B" w:rsidRPr="00021DD5" w:rsidRDefault="00021DD5" w:rsidP="00021DD5">
      <w:pPr>
        <w:jc w:val="both"/>
        <w:rPr>
          <w:rFonts w:ascii="Arial" w:eastAsia="Calibri" w:hAnsi="Arial" w:cs="Arial"/>
          <w:sz w:val="20"/>
          <w:szCs w:val="20"/>
          <w:lang w:val="es-CO" w:eastAsia="es-ES"/>
        </w:rPr>
      </w:pPr>
      <w:r>
        <w:rPr>
          <w:rFonts w:ascii="Arial" w:eastAsia="Calibri" w:hAnsi="Arial" w:cs="Arial"/>
          <w:sz w:val="20"/>
          <w:szCs w:val="20"/>
          <w:lang w:val="es-CO" w:eastAsia="es-ES"/>
        </w:rPr>
        <w:t>Sin</w:t>
      </w:r>
      <w:r w:rsidR="00603402">
        <w:rPr>
          <w:rFonts w:ascii="Arial" w:eastAsia="Calibri" w:hAnsi="Arial" w:cs="Arial"/>
          <w:sz w:val="20"/>
          <w:szCs w:val="20"/>
          <w:lang w:val="es-CO" w:eastAsia="es-ES"/>
        </w:rPr>
        <w:t xml:space="preserve"> embargo, se</w:t>
      </w:r>
      <w:r>
        <w:rPr>
          <w:rFonts w:ascii="Arial" w:eastAsia="Times New Roman" w:hAnsi="Arial" w:cs="Arial"/>
          <w:sz w:val="20"/>
          <w:szCs w:val="20"/>
          <w:lang w:val="es-ES_tradnl" w:eastAsia="es-ES"/>
        </w:rPr>
        <w:t xml:space="preserve"> </w:t>
      </w:r>
      <w:r w:rsidR="00C9633B" w:rsidRPr="00021DD5">
        <w:rPr>
          <w:rFonts w:ascii="Arial" w:eastAsia="Times New Roman" w:hAnsi="Arial" w:cs="Arial"/>
          <w:sz w:val="20"/>
          <w:szCs w:val="20"/>
          <w:lang w:val="es-ES_tradnl" w:eastAsia="es-ES"/>
        </w:rPr>
        <w:t xml:space="preserve">evidencia que existe una matriz denominada </w:t>
      </w:r>
      <w:r w:rsidR="00C9633B" w:rsidRPr="00021DD5">
        <w:rPr>
          <w:rFonts w:ascii="Arial" w:eastAsia="Times New Roman" w:hAnsi="Arial" w:cs="Arial"/>
          <w:i/>
          <w:sz w:val="18"/>
          <w:szCs w:val="18"/>
          <w:lang w:val="es-ES_tradnl" w:eastAsia="es-ES"/>
        </w:rPr>
        <w:t>“Ficha Técnica Control Ejecución Proveedores”</w:t>
      </w:r>
      <w:r w:rsidR="00C9633B" w:rsidRPr="00021DD5">
        <w:rPr>
          <w:rFonts w:ascii="Arial" w:eastAsia="Times New Roman" w:hAnsi="Arial" w:cs="Arial"/>
          <w:sz w:val="20"/>
          <w:szCs w:val="20"/>
          <w:lang w:val="es-ES_tradnl" w:eastAsia="es-ES"/>
        </w:rPr>
        <w:t xml:space="preserve">, la cual el proceso implementa como control del seguimiento de la ejecución presupuestal, siendo esta una herramienta que genera alerta para el supervisor, toda vez que muestra el porcentaje de ejecución de cada uno de los contratos a su cargo. </w:t>
      </w:r>
      <w:r w:rsidR="00561324">
        <w:rPr>
          <w:rFonts w:ascii="Arial" w:eastAsia="Times New Roman" w:hAnsi="Arial" w:cs="Arial"/>
          <w:sz w:val="20"/>
          <w:szCs w:val="20"/>
          <w:lang w:val="es-ES_tradnl" w:eastAsia="es-ES"/>
        </w:rPr>
        <w:t>No obstante</w:t>
      </w:r>
      <w:r w:rsidR="00C9633B" w:rsidRPr="00021DD5">
        <w:rPr>
          <w:rFonts w:ascii="Arial" w:eastAsia="Times New Roman" w:hAnsi="Arial" w:cs="Arial"/>
          <w:sz w:val="20"/>
          <w:szCs w:val="20"/>
          <w:lang w:val="es-ES_tradnl" w:eastAsia="es-ES"/>
        </w:rPr>
        <w:t xml:space="preserve">, se observa que la </w:t>
      </w:r>
      <w:r w:rsidR="007754ED">
        <w:rPr>
          <w:rFonts w:ascii="Arial" w:eastAsia="Times New Roman" w:hAnsi="Arial" w:cs="Arial"/>
          <w:sz w:val="20"/>
          <w:szCs w:val="20"/>
          <w:lang w:val="es-ES_tradnl" w:eastAsia="es-ES"/>
        </w:rPr>
        <w:t>remitida por el auditado</w:t>
      </w:r>
      <w:r w:rsidR="00C9633B" w:rsidRPr="00021DD5">
        <w:rPr>
          <w:rFonts w:ascii="Arial" w:eastAsia="Times New Roman" w:hAnsi="Arial" w:cs="Arial"/>
          <w:sz w:val="20"/>
          <w:szCs w:val="20"/>
          <w:lang w:val="es-ES_tradnl" w:eastAsia="es-ES"/>
        </w:rPr>
        <w:t xml:space="preserve"> presenta una inconsistencia en la formulación del </w:t>
      </w:r>
      <w:r w:rsidR="00561324">
        <w:rPr>
          <w:rFonts w:ascii="Arial" w:eastAsia="Times New Roman" w:hAnsi="Arial" w:cs="Arial"/>
          <w:sz w:val="20"/>
          <w:szCs w:val="20"/>
          <w:lang w:val="es-ES_tradnl" w:eastAsia="es-ES"/>
        </w:rPr>
        <w:t>t</w:t>
      </w:r>
      <w:r w:rsidR="00C9633B" w:rsidRPr="00021DD5">
        <w:rPr>
          <w:rFonts w:ascii="Arial" w:eastAsia="Times New Roman" w:hAnsi="Arial" w:cs="Arial"/>
          <w:sz w:val="20"/>
          <w:szCs w:val="20"/>
          <w:lang w:val="es-ES_tradnl" w:eastAsia="es-ES"/>
        </w:rPr>
        <w:t xml:space="preserve">otal </w:t>
      </w:r>
      <w:r w:rsidR="00561324">
        <w:rPr>
          <w:rFonts w:ascii="Arial" w:eastAsia="Times New Roman" w:hAnsi="Arial" w:cs="Arial"/>
          <w:sz w:val="20"/>
          <w:szCs w:val="20"/>
          <w:lang w:val="es-ES_tradnl" w:eastAsia="es-ES"/>
        </w:rPr>
        <w:t>e</w:t>
      </w:r>
      <w:r w:rsidR="00C9633B" w:rsidRPr="00021DD5">
        <w:rPr>
          <w:rFonts w:ascii="Arial" w:eastAsia="Times New Roman" w:hAnsi="Arial" w:cs="Arial"/>
          <w:sz w:val="20"/>
          <w:szCs w:val="20"/>
          <w:lang w:val="es-ES_tradnl" w:eastAsia="es-ES"/>
        </w:rPr>
        <w:t xml:space="preserve">jecutado y por ende refleja una alteración en el </w:t>
      </w:r>
      <w:r w:rsidR="00561324">
        <w:rPr>
          <w:rFonts w:ascii="Arial" w:eastAsia="Times New Roman" w:hAnsi="Arial" w:cs="Arial"/>
          <w:sz w:val="20"/>
          <w:szCs w:val="20"/>
          <w:lang w:val="es-ES_tradnl" w:eastAsia="es-ES"/>
        </w:rPr>
        <w:t>s</w:t>
      </w:r>
      <w:r w:rsidR="00C9633B" w:rsidRPr="00021DD5">
        <w:rPr>
          <w:rFonts w:ascii="Arial" w:eastAsia="Times New Roman" w:hAnsi="Arial" w:cs="Arial"/>
          <w:sz w:val="20"/>
          <w:szCs w:val="20"/>
          <w:lang w:val="es-ES_tradnl" w:eastAsia="es-ES"/>
        </w:rPr>
        <w:t xml:space="preserve">aldo por </w:t>
      </w:r>
      <w:r w:rsidR="00561324">
        <w:rPr>
          <w:rFonts w:ascii="Arial" w:eastAsia="Times New Roman" w:hAnsi="Arial" w:cs="Arial"/>
          <w:sz w:val="20"/>
          <w:szCs w:val="20"/>
          <w:lang w:val="es-ES_tradnl" w:eastAsia="es-ES"/>
        </w:rPr>
        <w:t>e</w:t>
      </w:r>
      <w:r w:rsidR="00C9633B" w:rsidRPr="00021DD5">
        <w:rPr>
          <w:rFonts w:ascii="Arial" w:eastAsia="Times New Roman" w:hAnsi="Arial" w:cs="Arial"/>
          <w:sz w:val="20"/>
          <w:szCs w:val="20"/>
          <w:lang w:val="es-ES_tradnl" w:eastAsia="es-ES"/>
        </w:rPr>
        <w:t xml:space="preserve">jecutar, el cual es incoherente con el porcentaje de ejecución que se muestra en la casilla </w:t>
      </w:r>
      <w:r w:rsidR="00561324">
        <w:rPr>
          <w:rFonts w:ascii="Arial" w:eastAsia="Times New Roman" w:hAnsi="Arial" w:cs="Arial"/>
          <w:sz w:val="20"/>
          <w:szCs w:val="20"/>
          <w:lang w:val="es-ES_tradnl" w:eastAsia="es-ES"/>
        </w:rPr>
        <w:t xml:space="preserve">denominada </w:t>
      </w:r>
      <w:r w:rsidR="00561324" w:rsidRPr="00561324">
        <w:rPr>
          <w:rFonts w:ascii="Arial" w:eastAsia="Times New Roman" w:hAnsi="Arial" w:cs="Arial"/>
          <w:i/>
          <w:sz w:val="18"/>
          <w:szCs w:val="18"/>
          <w:lang w:val="es-ES_tradnl" w:eastAsia="es-ES"/>
        </w:rPr>
        <w:t>“</w:t>
      </w:r>
      <w:r w:rsidR="00C9633B" w:rsidRPr="00561324">
        <w:rPr>
          <w:rFonts w:ascii="Arial" w:eastAsia="Times New Roman" w:hAnsi="Arial" w:cs="Arial"/>
          <w:i/>
          <w:sz w:val="18"/>
          <w:szCs w:val="18"/>
          <w:lang w:val="es-ES_tradnl" w:eastAsia="es-ES"/>
        </w:rPr>
        <w:t>% de ejecución</w:t>
      </w:r>
      <w:r w:rsidR="00561324" w:rsidRPr="00561324">
        <w:rPr>
          <w:rFonts w:ascii="Arial" w:eastAsia="Times New Roman" w:hAnsi="Arial" w:cs="Arial"/>
          <w:i/>
          <w:sz w:val="18"/>
          <w:szCs w:val="18"/>
          <w:lang w:val="es-ES_tradnl" w:eastAsia="es-ES"/>
        </w:rPr>
        <w:t>”</w:t>
      </w:r>
      <w:r w:rsidR="00C9633B" w:rsidRPr="00561324">
        <w:rPr>
          <w:rFonts w:ascii="Arial" w:eastAsia="Times New Roman" w:hAnsi="Arial" w:cs="Arial"/>
          <w:i/>
          <w:sz w:val="18"/>
          <w:szCs w:val="18"/>
          <w:lang w:val="es-ES_tradnl" w:eastAsia="es-ES"/>
        </w:rPr>
        <w:t>.</w:t>
      </w:r>
      <w:r w:rsidR="00C9633B" w:rsidRPr="00021DD5">
        <w:rPr>
          <w:rFonts w:ascii="Arial" w:eastAsia="Times New Roman" w:hAnsi="Arial" w:cs="Arial"/>
          <w:sz w:val="20"/>
          <w:szCs w:val="20"/>
          <w:lang w:val="es-ES_tradnl" w:eastAsia="es-ES"/>
        </w:rPr>
        <w:t xml:space="preserve"> </w:t>
      </w:r>
      <w:r w:rsidR="00561324">
        <w:rPr>
          <w:rFonts w:ascii="Arial" w:eastAsia="Times New Roman" w:hAnsi="Arial" w:cs="Arial"/>
          <w:sz w:val="20"/>
          <w:szCs w:val="20"/>
          <w:lang w:val="es-ES_tradnl" w:eastAsia="es-ES"/>
        </w:rPr>
        <w:t>Como soporte de lo anterior se muestra en la</w:t>
      </w:r>
      <w:r w:rsidR="00C9633B" w:rsidRPr="00021DD5">
        <w:rPr>
          <w:rFonts w:ascii="Arial" w:eastAsia="Times New Roman" w:hAnsi="Arial" w:cs="Arial"/>
          <w:sz w:val="20"/>
          <w:szCs w:val="20"/>
          <w:lang w:val="es-ES_tradnl" w:eastAsia="es-ES"/>
        </w:rPr>
        <w:t xml:space="preserve"> siguiente imagen:</w:t>
      </w:r>
    </w:p>
    <w:p w14:paraId="4FB348C3" w14:textId="206DE7E5" w:rsidR="00C9633B" w:rsidRPr="00AC3CE8" w:rsidRDefault="00D75EE5" w:rsidP="00DC0ABC">
      <w:pPr>
        <w:spacing w:after="0"/>
        <w:ind w:left="142" w:hanging="142"/>
        <w:contextualSpacing/>
        <w:jc w:val="center"/>
        <w:rPr>
          <w:rFonts w:ascii="Arial" w:eastAsia="Times New Roman" w:hAnsi="Arial" w:cs="Arial"/>
          <w:b/>
          <w:sz w:val="20"/>
          <w:szCs w:val="20"/>
          <w:lang w:val="es-ES_tradnl" w:eastAsia="es-ES"/>
        </w:rPr>
      </w:pPr>
      <w:r>
        <w:rPr>
          <w:rFonts w:eastAsia="Cambria"/>
          <w:noProof/>
          <w:sz w:val="20"/>
          <w:szCs w:val="20"/>
          <w:lang w:eastAsia="es-ES"/>
        </w:rPr>
        <mc:AlternateContent>
          <mc:Choice Requires="wps">
            <w:drawing>
              <wp:anchor distT="0" distB="0" distL="114300" distR="114300" simplePos="0" relativeHeight="251676672" behindDoc="0" locked="0" layoutInCell="1" allowOverlap="1" wp14:anchorId="3366126F" wp14:editId="26790147">
                <wp:simplePos x="0" y="0"/>
                <wp:positionH relativeFrom="column">
                  <wp:posOffset>4186809</wp:posOffset>
                </wp:positionH>
                <wp:positionV relativeFrom="paragraph">
                  <wp:posOffset>2659736</wp:posOffset>
                </wp:positionV>
                <wp:extent cx="929030" cy="307238"/>
                <wp:effectExtent l="57150" t="19050" r="23495" b="93345"/>
                <wp:wrapNone/>
                <wp:docPr id="13" name="Elipse 13"/>
                <wp:cNvGraphicFramePr/>
                <a:graphic xmlns:a="http://schemas.openxmlformats.org/drawingml/2006/main">
                  <a:graphicData uri="http://schemas.microsoft.com/office/word/2010/wordprocessingShape">
                    <wps:wsp>
                      <wps:cNvSpPr/>
                      <wps:spPr>
                        <a:xfrm>
                          <a:off x="0" y="0"/>
                          <a:ext cx="929030" cy="307238"/>
                        </a:xfrm>
                        <a:prstGeom prst="ellipse">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3A398B6" id="Elipse 13" o:spid="_x0000_s1026" style="position:absolute;margin-left:329.65pt;margin-top:209.45pt;width:73.15pt;height:24.2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" filled="f" strokecolor="#3c3c3c [3044]">
                <v:shadow on="t" color="black" opacity="22937f" origin=",.5" offset="0,.63889mm"/>
              </v:oval>
            </w:pict>
          </mc:Fallback>
        </mc:AlternateContent>
      </w:r>
      <w:r w:rsidR="00C9633B" w:rsidRPr="00AC3CE8">
        <w:rPr>
          <w:rFonts w:eastAsia="Cambria"/>
          <w:noProof/>
          <w:sz w:val="20"/>
          <w:szCs w:val="20"/>
          <w:lang w:eastAsia="es-ES"/>
        </w:rPr>
        <w:drawing>
          <wp:inline distT="0" distB="0" distL="0" distR="0" wp14:anchorId="26AD15CA" wp14:editId="3AACDAB7">
            <wp:extent cx="5676900" cy="3329305"/>
            <wp:effectExtent l="0" t="0" r="0" b="4445"/>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b="5143"/>
                    <a:stretch/>
                  </pic:blipFill>
                  <pic:spPr bwMode="auto">
                    <a:xfrm>
                      <a:off x="0" y="0"/>
                      <a:ext cx="5801787" cy="3402547"/>
                    </a:xfrm>
                    <a:prstGeom prst="rect">
                      <a:avLst/>
                    </a:prstGeom>
                    <a:ln>
                      <a:noFill/>
                    </a:ln>
                    <a:extLst>
                      <a:ext uri="{53640926-AAD7-44D8-BBD7-CCE9431645EC}">
                        <a14:shadowObscured xmlns:a14="http://schemas.microsoft.com/office/drawing/2010/main"/>
                      </a:ext>
                    </a:extLst>
                  </pic:spPr>
                </pic:pic>
              </a:graphicData>
            </a:graphic>
          </wp:inline>
        </w:drawing>
      </w:r>
    </w:p>
    <w:p w14:paraId="2BFB3E21" w14:textId="77777777" w:rsidR="00C9633B" w:rsidRPr="00A05B51" w:rsidRDefault="00C9633B" w:rsidP="00C9633B">
      <w:pPr>
        <w:spacing w:after="0"/>
        <w:ind w:left="720"/>
        <w:contextualSpacing/>
        <w:rPr>
          <w:rFonts w:ascii="Arial" w:eastAsia="Times New Roman" w:hAnsi="Arial" w:cs="Arial"/>
          <w:sz w:val="10"/>
          <w:szCs w:val="10"/>
          <w:lang w:val="es-ES_tradnl" w:eastAsia="es-ES"/>
        </w:rPr>
      </w:pPr>
      <w:r>
        <w:rPr>
          <w:rFonts w:ascii="Arial" w:eastAsia="Times New Roman" w:hAnsi="Arial" w:cs="Arial"/>
          <w:sz w:val="10"/>
          <w:szCs w:val="10"/>
          <w:lang w:val="es-ES_tradnl" w:eastAsia="es-ES"/>
        </w:rPr>
        <w:t xml:space="preserve"> </w:t>
      </w:r>
      <w:r w:rsidRPr="00A05B51">
        <w:rPr>
          <w:rFonts w:ascii="Arial" w:eastAsia="Times New Roman" w:hAnsi="Arial" w:cs="Arial"/>
          <w:sz w:val="10"/>
          <w:szCs w:val="10"/>
          <w:lang w:val="es-ES_tradnl" w:eastAsia="es-ES"/>
        </w:rPr>
        <w:t xml:space="preserve">Fuente: </w:t>
      </w:r>
      <w:r w:rsidRPr="00605E87">
        <w:rPr>
          <w:rFonts w:ascii="Arial" w:eastAsia="Times New Roman" w:hAnsi="Arial" w:cs="Arial"/>
          <w:sz w:val="10"/>
          <w:szCs w:val="10"/>
          <w:lang w:val="es-ES_tradnl" w:eastAsia="es-ES"/>
        </w:rPr>
        <w:t>Ficha Técnica Control Ejecución Proveedores</w:t>
      </w:r>
      <w:r>
        <w:rPr>
          <w:rFonts w:ascii="Arial" w:eastAsia="Times New Roman" w:hAnsi="Arial" w:cs="Arial"/>
          <w:sz w:val="10"/>
          <w:szCs w:val="10"/>
          <w:lang w:val="es-ES_tradnl" w:eastAsia="es-ES"/>
        </w:rPr>
        <w:t>1190-EUCOL S.A.S</w:t>
      </w:r>
    </w:p>
    <w:p w14:paraId="608B30EF" w14:textId="77777777" w:rsidR="00C9633B" w:rsidRPr="00A05B51" w:rsidRDefault="00C9633B" w:rsidP="00C9633B">
      <w:pPr>
        <w:spacing w:after="0"/>
        <w:ind w:left="720"/>
        <w:contextualSpacing/>
        <w:jc w:val="both"/>
        <w:rPr>
          <w:rFonts w:ascii="Arial" w:eastAsia="Times New Roman" w:hAnsi="Arial" w:cs="Arial"/>
          <w:sz w:val="20"/>
          <w:szCs w:val="20"/>
          <w:lang w:val="es-ES_tradnl" w:eastAsia="es-ES"/>
        </w:rPr>
      </w:pPr>
    </w:p>
    <w:p w14:paraId="4D21F672" w14:textId="34CEC166" w:rsidR="007754ED" w:rsidRDefault="007754ED" w:rsidP="00C9633B">
      <w:pPr>
        <w:jc w:val="both"/>
        <w:rPr>
          <w:rFonts w:ascii="Arial" w:eastAsia="Times New Roman" w:hAnsi="Arial" w:cs="Arial"/>
          <w:sz w:val="20"/>
          <w:szCs w:val="20"/>
          <w:lang w:val="es-ES_tradnl" w:eastAsia="es-ES"/>
        </w:rPr>
      </w:pPr>
      <w:r>
        <w:rPr>
          <w:rFonts w:ascii="Arial" w:eastAsia="Times New Roman" w:hAnsi="Arial" w:cs="Arial"/>
          <w:sz w:val="20"/>
          <w:szCs w:val="20"/>
          <w:lang w:val="es-ES_tradnl" w:eastAsia="es-ES"/>
        </w:rPr>
        <w:t xml:space="preserve">Así mismo el equipo auditor </w:t>
      </w:r>
      <w:r w:rsidR="00A8582D">
        <w:rPr>
          <w:rFonts w:ascii="Arial" w:eastAsia="Times New Roman" w:hAnsi="Arial" w:cs="Arial"/>
          <w:sz w:val="20"/>
          <w:szCs w:val="20"/>
          <w:lang w:val="es-ES_tradnl" w:eastAsia="es-ES"/>
        </w:rPr>
        <w:t xml:space="preserve">realiza un </w:t>
      </w:r>
      <w:r w:rsidR="00C634C9">
        <w:rPr>
          <w:rFonts w:ascii="Arial" w:eastAsia="Times New Roman" w:hAnsi="Arial" w:cs="Arial"/>
          <w:sz w:val="20"/>
          <w:szCs w:val="20"/>
          <w:lang w:val="es-ES_tradnl" w:eastAsia="es-ES"/>
        </w:rPr>
        <w:t xml:space="preserve">control cruzado </w:t>
      </w:r>
      <w:r>
        <w:rPr>
          <w:rFonts w:ascii="Arial" w:eastAsia="Times New Roman" w:hAnsi="Arial" w:cs="Arial"/>
          <w:sz w:val="20"/>
          <w:szCs w:val="20"/>
          <w:lang w:val="es-ES_tradnl" w:eastAsia="es-ES"/>
        </w:rPr>
        <w:t>verifica</w:t>
      </w:r>
      <w:r w:rsidR="00C634C9">
        <w:rPr>
          <w:rFonts w:ascii="Arial" w:eastAsia="Times New Roman" w:hAnsi="Arial" w:cs="Arial"/>
          <w:sz w:val="20"/>
          <w:szCs w:val="20"/>
          <w:lang w:val="es-ES_tradnl" w:eastAsia="es-ES"/>
        </w:rPr>
        <w:t>ndo</w:t>
      </w:r>
      <w:r>
        <w:rPr>
          <w:rFonts w:ascii="Arial" w:eastAsia="Times New Roman" w:hAnsi="Arial" w:cs="Arial"/>
          <w:sz w:val="20"/>
          <w:szCs w:val="20"/>
          <w:lang w:val="es-ES_tradnl" w:eastAsia="es-ES"/>
        </w:rPr>
        <w:t xml:space="preserve"> con la supervisora de la remisión de la matriz antes mencionada,</w:t>
      </w:r>
      <w:r w:rsidR="00A8582D">
        <w:rPr>
          <w:rFonts w:ascii="Arial" w:eastAsia="Times New Roman" w:hAnsi="Arial" w:cs="Arial"/>
          <w:sz w:val="20"/>
          <w:szCs w:val="20"/>
          <w:lang w:val="es-ES_tradnl" w:eastAsia="es-ES"/>
        </w:rPr>
        <w:t xml:space="preserve"> en donde menciona la </w:t>
      </w:r>
      <w:r>
        <w:rPr>
          <w:rFonts w:ascii="Arial" w:eastAsia="Times New Roman" w:hAnsi="Arial" w:cs="Arial"/>
          <w:sz w:val="20"/>
          <w:szCs w:val="20"/>
          <w:lang w:val="es-ES_tradnl" w:eastAsia="es-ES"/>
        </w:rPr>
        <w:t xml:space="preserve">utilidad </w:t>
      </w:r>
      <w:r w:rsidR="00335251">
        <w:rPr>
          <w:rFonts w:ascii="Arial" w:eastAsia="Times New Roman" w:hAnsi="Arial" w:cs="Arial"/>
          <w:sz w:val="20"/>
          <w:szCs w:val="20"/>
          <w:lang w:val="es-ES_tradnl" w:eastAsia="es-ES"/>
        </w:rPr>
        <w:t xml:space="preserve">que tiene sobre la misma </w:t>
      </w:r>
      <w:r w:rsidRPr="007754ED">
        <w:rPr>
          <w:rFonts w:ascii="Arial" w:eastAsia="Times New Roman" w:hAnsi="Arial" w:cs="Arial"/>
          <w:sz w:val="20"/>
          <w:szCs w:val="20"/>
          <w:lang w:val="es-ES_tradnl" w:eastAsia="es-ES"/>
        </w:rPr>
        <w:t xml:space="preserve">para </w:t>
      </w:r>
      <w:r>
        <w:rPr>
          <w:rFonts w:ascii="Arial" w:eastAsia="Times New Roman" w:hAnsi="Arial" w:cs="Arial"/>
          <w:sz w:val="20"/>
          <w:szCs w:val="20"/>
          <w:lang w:val="es-ES_tradnl" w:eastAsia="es-ES"/>
        </w:rPr>
        <w:t xml:space="preserve">realizar </w:t>
      </w:r>
      <w:r w:rsidRPr="007754ED">
        <w:rPr>
          <w:rFonts w:ascii="Arial" w:eastAsia="Times New Roman" w:hAnsi="Arial" w:cs="Arial"/>
          <w:sz w:val="20"/>
          <w:szCs w:val="20"/>
          <w:lang w:val="es-ES_tradnl" w:eastAsia="es-ES"/>
        </w:rPr>
        <w:lastRenderedPageBreak/>
        <w:t xml:space="preserve">control financiero y </w:t>
      </w:r>
      <w:r>
        <w:rPr>
          <w:rFonts w:ascii="Arial" w:eastAsia="Times New Roman" w:hAnsi="Arial" w:cs="Arial"/>
          <w:sz w:val="20"/>
          <w:szCs w:val="20"/>
          <w:lang w:val="es-ES_tradnl" w:eastAsia="es-ES"/>
        </w:rPr>
        <w:t>conocer si se realizaron los pagos, sin embargo, indica</w:t>
      </w:r>
      <w:r w:rsidR="00A8582D">
        <w:rPr>
          <w:rFonts w:ascii="Arial" w:eastAsia="Times New Roman" w:hAnsi="Arial" w:cs="Arial"/>
          <w:sz w:val="20"/>
          <w:szCs w:val="20"/>
          <w:lang w:val="es-ES_tradnl" w:eastAsia="es-ES"/>
        </w:rPr>
        <w:t xml:space="preserve"> “</w:t>
      </w:r>
      <w:r w:rsidR="00A8582D" w:rsidRPr="00A8582D">
        <w:rPr>
          <w:rFonts w:ascii="Arial" w:eastAsia="Times New Roman" w:hAnsi="Arial" w:cs="Arial"/>
          <w:sz w:val="20"/>
          <w:szCs w:val="20"/>
          <w:lang w:val="es-ES_tradnl" w:eastAsia="es-ES"/>
        </w:rPr>
        <w:t xml:space="preserve">No entendí los valores. Repiten </w:t>
      </w:r>
      <w:r w:rsidR="00A8582D">
        <w:rPr>
          <w:rFonts w:ascii="Arial" w:eastAsia="Times New Roman" w:hAnsi="Arial" w:cs="Arial"/>
          <w:sz w:val="20"/>
          <w:szCs w:val="20"/>
          <w:lang w:val="es-ES_tradnl" w:eastAsia="es-ES"/>
        </w:rPr>
        <w:t>en todas las casillas el cuadro”</w:t>
      </w:r>
      <w:r>
        <w:rPr>
          <w:rFonts w:ascii="Arial" w:eastAsia="Times New Roman" w:hAnsi="Arial" w:cs="Arial"/>
          <w:sz w:val="20"/>
          <w:szCs w:val="20"/>
          <w:lang w:val="es-ES_tradnl" w:eastAsia="es-ES"/>
        </w:rPr>
        <w:t xml:space="preserve">. </w:t>
      </w:r>
    </w:p>
    <w:p w14:paraId="198C3FEA" w14:textId="2E67E412" w:rsidR="001D3AA7" w:rsidRPr="00E73075" w:rsidRDefault="00C9633B" w:rsidP="00E73075">
      <w:pPr>
        <w:jc w:val="both"/>
        <w:rPr>
          <w:rFonts w:ascii="Arial" w:eastAsia="Times New Roman" w:hAnsi="Arial" w:cs="Arial"/>
          <w:sz w:val="20"/>
          <w:szCs w:val="20"/>
          <w:lang w:val="es-ES_tradnl" w:eastAsia="es-ES"/>
        </w:rPr>
      </w:pPr>
      <w:r w:rsidRPr="00AC3CE8">
        <w:rPr>
          <w:rFonts w:ascii="Arial" w:eastAsia="Times New Roman" w:hAnsi="Arial" w:cs="Arial"/>
          <w:sz w:val="20"/>
          <w:szCs w:val="20"/>
          <w:lang w:val="es-ES_tradnl" w:eastAsia="es-ES"/>
        </w:rPr>
        <w:t>Dicha situación aumenta el riesgo en la lectura, interpretación y toma de decisiones con respecto a la información suministrada por parte del proceso de Gestión Financiera a los supervisores</w:t>
      </w:r>
      <w:r w:rsidR="00561324">
        <w:rPr>
          <w:rFonts w:ascii="Arial" w:eastAsia="Times New Roman" w:hAnsi="Arial" w:cs="Arial"/>
          <w:sz w:val="20"/>
          <w:szCs w:val="20"/>
          <w:lang w:val="es-ES_tradnl" w:eastAsia="es-ES"/>
        </w:rPr>
        <w:t xml:space="preserve">, incumpliendo lo establecido en </w:t>
      </w:r>
      <w:r w:rsidR="00561324" w:rsidRPr="00561324">
        <w:rPr>
          <w:rFonts w:ascii="Arial" w:eastAsia="Times New Roman" w:hAnsi="Arial" w:cs="Arial"/>
          <w:sz w:val="20"/>
          <w:szCs w:val="20"/>
          <w:lang w:val="es-ES_tradnl" w:eastAsia="es-ES"/>
        </w:rPr>
        <w:t xml:space="preserve">el </w:t>
      </w:r>
      <w:r w:rsidR="00561324" w:rsidRPr="00561324">
        <w:rPr>
          <w:rFonts w:ascii="Arial" w:eastAsia="Calibri" w:hAnsi="Arial" w:cs="Arial"/>
          <w:sz w:val="20"/>
          <w:szCs w:val="20"/>
          <w:lang w:val="es-CO" w:eastAsia="es-ES"/>
        </w:rPr>
        <w:t>en el literal e) del artículo 2º y literal j) del artículo 4º de la Ley 87 de 1993</w:t>
      </w:r>
      <w:r w:rsidRPr="00561324">
        <w:rPr>
          <w:rFonts w:ascii="Arial" w:eastAsia="Times New Roman" w:hAnsi="Arial" w:cs="Arial"/>
          <w:sz w:val="20"/>
          <w:szCs w:val="20"/>
          <w:lang w:val="es-ES_tradnl" w:eastAsia="es-ES"/>
        </w:rPr>
        <w:t>.</w:t>
      </w:r>
      <w:r w:rsidR="00295CE6">
        <w:rPr>
          <w:rFonts w:ascii="Arial" w:eastAsia="Times New Roman" w:hAnsi="Arial" w:cs="Arial"/>
          <w:sz w:val="20"/>
          <w:szCs w:val="20"/>
          <w:lang w:val="es-ES_tradnl" w:eastAsia="es-ES"/>
        </w:rPr>
        <w:t xml:space="preserve"> </w:t>
      </w:r>
    </w:p>
    <w:p w14:paraId="6752A301" w14:textId="45FE72E7" w:rsidR="001D3AA7" w:rsidRDefault="001C6EC9" w:rsidP="001D3AA7">
      <w:p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5.1.5 Mejora o Valor Agregado</w:t>
      </w:r>
    </w:p>
    <w:p w14:paraId="09FD9D23" w14:textId="77777777" w:rsidR="001D3AA7" w:rsidRDefault="001D3AA7" w:rsidP="001D3AA7">
      <w:pPr>
        <w:spacing w:after="0"/>
        <w:jc w:val="both"/>
        <w:rPr>
          <w:rFonts w:ascii="Arial" w:eastAsia="Calibri" w:hAnsi="Arial" w:cs="Arial"/>
          <w:b/>
          <w:sz w:val="20"/>
          <w:szCs w:val="20"/>
          <w:lang w:val="es-CO" w:eastAsia="es-ES"/>
        </w:rPr>
      </w:pPr>
    </w:p>
    <w:p w14:paraId="5C697A17" w14:textId="724F4D3A" w:rsidR="001C6EC9" w:rsidRPr="009649CB" w:rsidRDefault="001C6EC9" w:rsidP="001C6EC9">
      <w:pPr>
        <w:jc w:val="both"/>
        <w:rPr>
          <w:rFonts w:ascii="Arial" w:eastAsia="Calibri" w:hAnsi="Arial" w:cs="Arial"/>
          <w:sz w:val="20"/>
          <w:szCs w:val="20"/>
          <w:lang w:val="es-CO" w:eastAsia="es-ES"/>
        </w:rPr>
      </w:pPr>
      <w:r w:rsidRPr="009649CB">
        <w:rPr>
          <w:rFonts w:ascii="Arial" w:eastAsia="Calibri" w:hAnsi="Arial" w:cs="Arial"/>
          <w:sz w:val="20"/>
          <w:szCs w:val="20"/>
          <w:lang w:val="es-CO" w:eastAsia="es-ES"/>
        </w:rPr>
        <w:t xml:space="preserve">Siguiendo los parámetros de la herramienta citada en los numerales anteriores, el </w:t>
      </w:r>
      <w:r w:rsidR="002C4F66">
        <w:rPr>
          <w:rFonts w:ascii="Arial" w:eastAsia="Calibri" w:hAnsi="Arial" w:cs="Arial"/>
          <w:sz w:val="20"/>
          <w:szCs w:val="20"/>
          <w:lang w:val="es-CO" w:eastAsia="es-ES"/>
        </w:rPr>
        <w:t>E</w:t>
      </w:r>
      <w:r>
        <w:rPr>
          <w:rFonts w:ascii="Arial" w:eastAsia="Calibri" w:hAnsi="Arial" w:cs="Arial"/>
          <w:sz w:val="20"/>
          <w:szCs w:val="20"/>
          <w:lang w:val="es-CO" w:eastAsia="es-ES"/>
        </w:rPr>
        <w:t xml:space="preserve">quipo </w:t>
      </w:r>
      <w:r w:rsidR="002C4F66">
        <w:rPr>
          <w:rFonts w:ascii="Arial" w:eastAsia="Calibri" w:hAnsi="Arial" w:cs="Arial"/>
          <w:sz w:val="20"/>
          <w:szCs w:val="20"/>
          <w:lang w:val="es-CO" w:eastAsia="es-ES"/>
        </w:rPr>
        <w:t>A</w:t>
      </w:r>
      <w:r w:rsidRPr="009649CB">
        <w:rPr>
          <w:rFonts w:ascii="Arial" w:eastAsia="Calibri" w:hAnsi="Arial" w:cs="Arial"/>
          <w:sz w:val="20"/>
          <w:szCs w:val="20"/>
          <w:lang w:val="es-CO" w:eastAsia="es-ES"/>
        </w:rPr>
        <w:t>uditor la aplica para determinar el nivel de madurez del modelo de análisis a la mejora o valor agregado al proceso auditado.  Los resultados obtenidos se muestran en la siguiente gráfica:</w:t>
      </w:r>
    </w:p>
    <w:p w14:paraId="557DB5CC" w14:textId="77777777" w:rsidR="00872017" w:rsidRDefault="001C6EC9" w:rsidP="00872017">
      <w:pPr>
        <w:spacing w:after="0"/>
        <w:jc w:val="center"/>
        <w:rPr>
          <w:rFonts w:ascii="Arial" w:hAnsi="Arial" w:cs="Arial"/>
          <w:sz w:val="10"/>
          <w:szCs w:val="10"/>
          <w:lang w:val="es-419"/>
        </w:rPr>
      </w:pPr>
      <w:r w:rsidRPr="009649CB">
        <w:rPr>
          <w:rFonts w:ascii="Arial" w:hAnsi="Arial" w:cs="Arial"/>
          <w:noProof/>
          <w:sz w:val="20"/>
          <w:szCs w:val="20"/>
          <w:lang w:eastAsia="es-ES"/>
        </w:rPr>
        <w:drawing>
          <wp:inline distT="0" distB="0" distL="0" distR="0" wp14:anchorId="5B82723D" wp14:editId="2786A532">
            <wp:extent cx="4286250" cy="1561890"/>
            <wp:effectExtent l="0" t="0" r="0" b="635"/>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b="5502"/>
                    <a:stretch/>
                  </pic:blipFill>
                  <pic:spPr bwMode="auto">
                    <a:xfrm>
                      <a:off x="0" y="0"/>
                      <a:ext cx="4431431" cy="1614793"/>
                    </a:xfrm>
                    <a:prstGeom prst="rect">
                      <a:avLst/>
                    </a:prstGeom>
                    <a:ln>
                      <a:noFill/>
                    </a:ln>
                    <a:extLst>
                      <a:ext uri="{53640926-AAD7-44D8-BBD7-CCE9431645EC}">
                        <a14:shadowObscured xmlns:a14="http://schemas.microsoft.com/office/drawing/2010/main"/>
                      </a:ext>
                    </a:extLst>
                  </pic:spPr>
                </pic:pic>
              </a:graphicData>
            </a:graphic>
          </wp:inline>
        </w:drawing>
      </w:r>
    </w:p>
    <w:p w14:paraId="52B42D19" w14:textId="77777777" w:rsidR="00872017" w:rsidRPr="009649CB" w:rsidRDefault="00872017" w:rsidP="00872017">
      <w:pPr>
        <w:spacing w:after="0"/>
        <w:rPr>
          <w:rFonts w:ascii="Arial" w:eastAsia="Calibri" w:hAnsi="Arial" w:cs="Arial"/>
          <w:sz w:val="20"/>
          <w:szCs w:val="20"/>
          <w:lang w:val="es-CO" w:eastAsia="es-ES"/>
        </w:rPr>
      </w:pPr>
      <w:r>
        <w:rPr>
          <w:rFonts w:ascii="Arial" w:hAnsi="Arial" w:cs="Arial"/>
          <w:sz w:val="10"/>
          <w:szCs w:val="10"/>
          <w:lang w:val="es-419"/>
        </w:rPr>
        <w:t xml:space="preserve">                                                     </w:t>
      </w:r>
      <w:r w:rsidRPr="00605E87">
        <w:rPr>
          <w:rFonts w:ascii="Arial" w:hAnsi="Arial" w:cs="Arial"/>
          <w:sz w:val="10"/>
          <w:szCs w:val="10"/>
          <w:lang w:val="es-419"/>
        </w:rPr>
        <w:t>Fuente: Equipo Auditor</w:t>
      </w:r>
    </w:p>
    <w:p w14:paraId="6532F7B0" w14:textId="77777777" w:rsidR="00872017" w:rsidRDefault="00872017" w:rsidP="001C6EC9">
      <w:pPr>
        <w:spacing w:after="0"/>
        <w:jc w:val="both"/>
        <w:rPr>
          <w:rFonts w:ascii="Arial" w:hAnsi="Arial" w:cs="Arial"/>
          <w:sz w:val="10"/>
          <w:szCs w:val="10"/>
          <w:lang w:val="es-419"/>
        </w:rPr>
      </w:pPr>
    </w:p>
    <w:p w14:paraId="6F551272" w14:textId="28E2E6FF" w:rsidR="001C6EC9" w:rsidRPr="009649CB" w:rsidRDefault="001C6EC9" w:rsidP="001C6EC9">
      <w:pPr>
        <w:spacing w:after="0"/>
        <w:jc w:val="both"/>
        <w:rPr>
          <w:rFonts w:ascii="Arial" w:eastAsia="Calibri" w:hAnsi="Arial" w:cs="Arial"/>
          <w:sz w:val="20"/>
          <w:szCs w:val="20"/>
          <w:lang w:val="es-CO" w:eastAsia="es-ES"/>
        </w:rPr>
      </w:pPr>
      <w:r w:rsidRPr="009649CB">
        <w:rPr>
          <w:rFonts w:ascii="Arial" w:eastAsia="Calibri" w:hAnsi="Arial" w:cs="Arial"/>
          <w:sz w:val="20"/>
          <w:szCs w:val="20"/>
          <w:lang w:val="es-CO" w:eastAsia="es-ES"/>
        </w:rPr>
        <w:t>Del análisis de datos se tiene que lo</w:t>
      </w:r>
      <w:r>
        <w:rPr>
          <w:rFonts w:ascii="Arial" w:eastAsia="Calibri" w:hAnsi="Arial" w:cs="Arial"/>
          <w:sz w:val="20"/>
          <w:szCs w:val="20"/>
          <w:lang w:val="es-CO" w:eastAsia="es-ES"/>
        </w:rPr>
        <w:t>s servidores consideran que la m</w:t>
      </w:r>
      <w:r w:rsidRPr="009649CB">
        <w:rPr>
          <w:rFonts w:ascii="Arial" w:eastAsia="Calibri" w:hAnsi="Arial" w:cs="Arial"/>
          <w:sz w:val="20"/>
          <w:szCs w:val="20"/>
          <w:lang w:val="es-CO" w:eastAsia="es-ES"/>
        </w:rPr>
        <w:t>ejora está de acuerdo con las necesidades, dado que se ubica en el 75% del valor máximo posible</w:t>
      </w:r>
      <w:r w:rsidR="002C4F66">
        <w:rPr>
          <w:rFonts w:ascii="Arial" w:eastAsia="Calibri" w:hAnsi="Arial" w:cs="Arial"/>
          <w:sz w:val="20"/>
          <w:szCs w:val="20"/>
          <w:lang w:val="es-CO" w:eastAsia="es-ES"/>
        </w:rPr>
        <w:t xml:space="preserve"> </w:t>
      </w:r>
      <w:r w:rsidRPr="009649CB">
        <w:rPr>
          <w:rFonts w:ascii="Arial" w:eastAsia="Calibri" w:hAnsi="Arial" w:cs="Arial"/>
          <w:sz w:val="20"/>
          <w:szCs w:val="20"/>
          <w:lang w:val="es-CO" w:eastAsia="es-ES"/>
        </w:rPr>
        <w:t>en</w:t>
      </w:r>
      <w:r w:rsidR="002C4F66">
        <w:rPr>
          <w:rFonts w:ascii="Arial" w:eastAsia="Calibri" w:hAnsi="Arial" w:cs="Arial"/>
          <w:sz w:val="20"/>
          <w:szCs w:val="20"/>
          <w:lang w:val="es-CO" w:eastAsia="es-ES"/>
        </w:rPr>
        <w:t xml:space="preserve"> </w:t>
      </w:r>
      <w:r w:rsidRPr="009649CB">
        <w:rPr>
          <w:rFonts w:ascii="Arial" w:eastAsia="Calibri" w:hAnsi="Arial" w:cs="Arial"/>
          <w:sz w:val="20"/>
          <w:szCs w:val="20"/>
          <w:lang w:val="es-CO" w:eastAsia="es-ES"/>
        </w:rPr>
        <w:t>la escala de Likert, metodología utilizada en la herramienta de evaluación. Lo anterior significa que</w:t>
      </w:r>
      <w:r w:rsidRPr="009649CB">
        <w:rPr>
          <w:rFonts w:ascii="Arial" w:eastAsia="Calibri" w:hAnsi="Arial" w:cs="Arial"/>
          <w:i/>
          <w:sz w:val="20"/>
          <w:szCs w:val="20"/>
          <w:lang w:val="es-CO" w:eastAsia="es-ES"/>
        </w:rPr>
        <w:t xml:space="preserve"> </w:t>
      </w:r>
      <w:r w:rsidRPr="002C4F66">
        <w:rPr>
          <w:rFonts w:ascii="Arial" w:eastAsia="Calibri" w:hAnsi="Arial" w:cs="Arial"/>
          <w:i/>
          <w:sz w:val="18"/>
          <w:szCs w:val="18"/>
          <w:lang w:val="es-CO" w:eastAsia="es-ES"/>
        </w:rPr>
        <w:t>“Hay evidencia que el modelo de mejoramiento o agregación de valor esta adecuadamente estructurado y se usa como fuente de información del proceso para corregir las deviaciones que se presentan.”</w:t>
      </w:r>
    </w:p>
    <w:p w14:paraId="2DB194C1" w14:textId="77777777" w:rsidR="001C6EC9" w:rsidRPr="009649CB" w:rsidRDefault="001C6EC9" w:rsidP="001C6EC9">
      <w:pPr>
        <w:spacing w:after="0"/>
        <w:jc w:val="both"/>
        <w:rPr>
          <w:rFonts w:ascii="Arial" w:eastAsia="Calibri" w:hAnsi="Arial" w:cs="Arial"/>
          <w:sz w:val="20"/>
          <w:szCs w:val="20"/>
          <w:lang w:val="es-CO" w:eastAsia="es-ES"/>
        </w:rPr>
      </w:pPr>
    </w:p>
    <w:p w14:paraId="10A474FA" w14:textId="6181FA11" w:rsidR="001C6EC9" w:rsidRDefault="001C6EC9" w:rsidP="00127090">
      <w:pPr>
        <w:spacing w:after="0"/>
        <w:jc w:val="both"/>
        <w:rPr>
          <w:rFonts w:ascii="Arial" w:eastAsia="Calibri" w:hAnsi="Arial" w:cs="Arial"/>
          <w:sz w:val="20"/>
          <w:szCs w:val="20"/>
          <w:lang w:val="es-CO" w:eastAsia="es-ES"/>
        </w:rPr>
      </w:pPr>
      <w:r w:rsidRPr="009649CB">
        <w:rPr>
          <w:rFonts w:ascii="Arial" w:eastAsia="Calibri" w:hAnsi="Arial" w:cs="Arial"/>
          <w:sz w:val="20"/>
          <w:szCs w:val="20"/>
          <w:lang w:val="es-CO" w:eastAsia="es-ES"/>
        </w:rPr>
        <w:t xml:space="preserve">De otra parte, el promedio de las 20 afirmaciones de las tres pruebas aplicadas a los funcionarios del proceso da como resultado </w:t>
      </w:r>
      <w:r w:rsidR="000739FB">
        <w:rPr>
          <w:rFonts w:ascii="Arial" w:eastAsia="Calibri" w:hAnsi="Arial" w:cs="Arial"/>
          <w:sz w:val="20"/>
          <w:szCs w:val="20"/>
          <w:lang w:val="es-CO" w:eastAsia="es-ES"/>
        </w:rPr>
        <w:t>4.0</w:t>
      </w:r>
      <w:r w:rsidRPr="009649CB">
        <w:rPr>
          <w:rFonts w:ascii="Arial" w:eastAsia="Calibri" w:hAnsi="Arial" w:cs="Arial"/>
          <w:sz w:val="20"/>
          <w:szCs w:val="20"/>
          <w:lang w:val="es-CO" w:eastAsia="es-ES"/>
        </w:rPr>
        <w:t xml:space="preserve"> en una escala 5/5.00 con una desviación estándar de 0.</w:t>
      </w:r>
      <w:r w:rsidR="000739FB">
        <w:rPr>
          <w:rFonts w:ascii="Arial" w:eastAsia="Calibri" w:hAnsi="Arial" w:cs="Arial"/>
          <w:sz w:val="20"/>
          <w:szCs w:val="20"/>
          <w:lang w:val="es-CO" w:eastAsia="es-ES"/>
        </w:rPr>
        <w:t>358</w:t>
      </w:r>
      <w:r>
        <w:rPr>
          <w:rFonts w:ascii="Arial" w:eastAsia="Calibri" w:hAnsi="Arial" w:cs="Arial"/>
          <w:sz w:val="20"/>
          <w:szCs w:val="20"/>
          <w:lang w:val="es-CO" w:eastAsia="es-ES"/>
        </w:rPr>
        <w:t xml:space="preserve">.  Es así como el </w:t>
      </w:r>
      <w:r w:rsidR="00EB5949">
        <w:rPr>
          <w:rFonts w:ascii="Arial" w:eastAsia="Calibri" w:hAnsi="Arial" w:cs="Arial"/>
          <w:sz w:val="20"/>
          <w:szCs w:val="20"/>
          <w:lang w:val="es-CO" w:eastAsia="es-ES"/>
        </w:rPr>
        <w:t>E</w:t>
      </w:r>
      <w:r>
        <w:rPr>
          <w:rFonts w:ascii="Arial" w:eastAsia="Calibri" w:hAnsi="Arial" w:cs="Arial"/>
          <w:sz w:val="20"/>
          <w:szCs w:val="20"/>
          <w:lang w:val="es-CO" w:eastAsia="es-ES"/>
        </w:rPr>
        <w:t xml:space="preserve">quipo </w:t>
      </w:r>
      <w:r w:rsidR="00EB5949">
        <w:rPr>
          <w:rFonts w:ascii="Arial" w:eastAsia="Calibri" w:hAnsi="Arial" w:cs="Arial"/>
          <w:sz w:val="20"/>
          <w:szCs w:val="20"/>
          <w:lang w:val="es-CO" w:eastAsia="es-ES"/>
        </w:rPr>
        <w:t>A</w:t>
      </w:r>
      <w:r w:rsidRPr="009649CB">
        <w:rPr>
          <w:rFonts w:ascii="Arial" w:eastAsia="Calibri" w:hAnsi="Arial" w:cs="Arial"/>
          <w:sz w:val="20"/>
          <w:szCs w:val="20"/>
          <w:lang w:val="es-CO" w:eastAsia="es-ES"/>
        </w:rPr>
        <w:t>uditor ve un terreno expedito para realizar acciones de seguimiento que aseguren una toma de decisiones en un entorno de certeza razonable teniendo como sustento la información de los anteriores componentes, todos ellos como herramienta de gerencia proclive a mejorar la gestión, minimizar costos de todo tipo y maximizar las acciones misionales en favor de los usuarios de la UARIV.</w:t>
      </w:r>
    </w:p>
    <w:p w14:paraId="52633A69" w14:textId="43C4BEFD" w:rsidR="001D3AA7" w:rsidRDefault="001D3AA7" w:rsidP="00127090">
      <w:pPr>
        <w:spacing w:after="0"/>
        <w:jc w:val="both"/>
        <w:rPr>
          <w:rFonts w:ascii="Arial" w:eastAsia="Calibri" w:hAnsi="Arial" w:cs="Arial"/>
          <w:sz w:val="20"/>
          <w:szCs w:val="20"/>
          <w:lang w:val="es-CO" w:eastAsia="es-ES"/>
        </w:rPr>
      </w:pPr>
    </w:p>
    <w:p w14:paraId="6DDFB883" w14:textId="2D47490E" w:rsidR="001D3AA7" w:rsidRDefault="00757B60" w:rsidP="00127090">
      <w:pPr>
        <w:spacing w:after="0"/>
        <w:jc w:val="both"/>
        <w:rPr>
          <w:rFonts w:ascii="Arial" w:eastAsia="Calibri" w:hAnsi="Arial" w:cs="Arial"/>
          <w:i/>
          <w:sz w:val="18"/>
          <w:szCs w:val="18"/>
          <w:lang w:val="es-CO" w:eastAsia="es-ES"/>
        </w:rPr>
      </w:pPr>
      <w:r>
        <w:rPr>
          <w:rFonts w:ascii="Arial" w:eastAsia="Calibri" w:hAnsi="Arial" w:cs="Arial"/>
          <w:sz w:val="20"/>
          <w:szCs w:val="20"/>
          <w:lang w:val="es-CO" w:eastAsia="es-ES"/>
        </w:rPr>
        <w:t>Teniendo e</w:t>
      </w:r>
      <w:r w:rsidR="00D56B9B">
        <w:rPr>
          <w:rFonts w:ascii="Arial" w:eastAsia="Calibri" w:hAnsi="Arial" w:cs="Arial"/>
          <w:sz w:val="20"/>
          <w:szCs w:val="20"/>
          <w:lang w:val="es-CO" w:eastAsia="es-ES"/>
        </w:rPr>
        <w:t xml:space="preserve">n cuenta lo señalado en el MIPG, </w:t>
      </w:r>
      <w:r>
        <w:rPr>
          <w:rFonts w:ascii="Arial" w:eastAsia="Calibri" w:hAnsi="Arial" w:cs="Arial"/>
          <w:sz w:val="20"/>
          <w:szCs w:val="20"/>
          <w:lang w:val="es-CO" w:eastAsia="es-ES"/>
        </w:rPr>
        <w:t>en lo referente al s</w:t>
      </w:r>
      <w:r w:rsidRPr="00757B60">
        <w:rPr>
          <w:rFonts w:ascii="Arial" w:eastAsia="Calibri" w:hAnsi="Arial" w:cs="Arial"/>
          <w:sz w:val="20"/>
          <w:szCs w:val="20"/>
          <w:lang w:val="es-CO" w:eastAsia="es-ES"/>
        </w:rPr>
        <w:t xml:space="preserve">eguimiento y evaluación del desempeño institucional </w:t>
      </w:r>
      <w:r>
        <w:rPr>
          <w:rFonts w:ascii="Arial" w:eastAsia="Calibri" w:hAnsi="Arial" w:cs="Arial"/>
          <w:sz w:val="20"/>
          <w:szCs w:val="20"/>
          <w:lang w:val="es-CO" w:eastAsia="es-ES"/>
        </w:rPr>
        <w:t xml:space="preserve">en lo que compete a evaluar </w:t>
      </w:r>
      <w:r w:rsidRPr="00757B60">
        <w:rPr>
          <w:rFonts w:ascii="Arial" w:eastAsia="Calibri" w:hAnsi="Arial" w:cs="Arial"/>
          <w:sz w:val="20"/>
          <w:szCs w:val="20"/>
          <w:lang w:val="es-CO" w:eastAsia="es-ES"/>
        </w:rPr>
        <w:t>la gestión del riesgo en la entidad</w:t>
      </w:r>
      <w:r>
        <w:rPr>
          <w:rFonts w:ascii="Arial" w:eastAsia="Calibri" w:hAnsi="Arial" w:cs="Arial"/>
          <w:sz w:val="20"/>
          <w:szCs w:val="20"/>
          <w:lang w:val="es-CO" w:eastAsia="es-ES"/>
        </w:rPr>
        <w:t>, donde se indica que: “</w:t>
      </w:r>
      <w:r w:rsidR="001D3AA7" w:rsidRPr="00757B60">
        <w:rPr>
          <w:rFonts w:ascii="Arial" w:eastAsia="Calibri" w:hAnsi="Arial" w:cs="Arial"/>
          <w:i/>
          <w:sz w:val="18"/>
          <w:szCs w:val="18"/>
          <w:lang w:val="es-CO" w:eastAsia="es-ES"/>
        </w:rPr>
        <w:t>Cuando se detecten desviaciones en los avances de gestión e indicadores, o posibilidad de materialización de un riesgo, es indispensable que el responsable establezca las acciones de mejora de manera inmediata. La utilidad de este ejercicio es apoyar la toma de decisiones para lograr mejores resultados, gestionar con mayor eficacia y eficiencia los recursos y facilitar la rendición de cuentas a los ciudadanos e informes a los organismos de control</w:t>
      </w:r>
      <w:r>
        <w:rPr>
          <w:rFonts w:ascii="Arial" w:eastAsia="Calibri" w:hAnsi="Arial" w:cs="Arial"/>
          <w:i/>
          <w:sz w:val="18"/>
          <w:szCs w:val="18"/>
          <w:lang w:val="es-CO" w:eastAsia="es-ES"/>
        </w:rPr>
        <w:t>”.</w:t>
      </w:r>
      <w:r w:rsidR="00475DA0">
        <w:rPr>
          <w:rFonts w:ascii="Arial" w:eastAsia="Calibri" w:hAnsi="Arial" w:cs="Arial"/>
          <w:i/>
          <w:sz w:val="18"/>
          <w:szCs w:val="18"/>
          <w:lang w:val="es-CO" w:eastAsia="es-ES"/>
        </w:rPr>
        <w:t xml:space="preserve"> </w:t>
      </w:r>
    </w:p>
    <w:p w14:paraId="27CF33DC" w14:textId="77777777" w:rsidR="00C94F2B" w:rsidRDefault="00C94F2B" w:rsidP="00127090">
      <w:pPr>
        <w:spacing w:after="0"/>
        <w:jc w:val="both"/>
        <w:rPr>
          <w:rFonts w:ascii="Arial" w:eastAsia="Times New Roman" w:hAnsi="Arial" w:cs="Arial"/>
          <w:sz w:val="20"/>
          <w:szCs w:val="20"/>
          <w:lang w:val="es-ES_tradnl" w:eastAsia="es-ES"/>
        </w:rPr>
      </w:pPr>
    </w:p>
    <w:p w14:paraId="10284B87" w14:textId="5581119B" w:rsidR="001C6EC9" w:rsidRPr="00642A47" w:rsidRDefault="00CC4BB3" w:rsidP="00127090">
      <w:pPr>
        <w:spacing w:after="0"/>
        <w:jc w:val="both"/>
        <w:rPr>
          <w:rFonts w:ascii="Arial" w:eastAsia="Calibri" w:hAnsi="Arial" w:cs="Arial"/>
          <w:sz w:val="20"/>
          <w:szCs w:val="20"/>
          <w:lang w:val="es-CO" w:eastAsia="es-ES"/>
        </w:rPr>
      </w:pPr>
      <w:r>
        <w:rPr>
          <w:rFonts w:ascii="Arial" w:eastAsia="Times New Roman" w:hAnsi="Arial" w:cs="Arial"/>
          <w:sz w:val="20"/>
          <w:szCs w:val="20"/>
          <w:lang w:val="es-ES_tradnl" w:eastAsia="es-ES"/>
        </w:rPr>
        <w:t>Por consiguiente, e</w:t>
      </w:r>
      <w:r w:rsidR="00475DA0">
        <w:rPr>
          <w:rFonts w:ascii="Arial" w:eastAsia="Times New Roman" w:hAnsi="Arial" w:cs="Arial"/>
          <w:sz w:val="20"/>
          <w:szCs w:val="20"/>
          <w:lang w:val="es-ES_tradnl" w:eastAsia="es-ES"/>
        </w:rPr>
        <w:t xml:space="preserve">n lo </w:t>
      </w:r>
      <w:r>
        <w:rPr>
          <w:rFonts w:ascii="Arial" w:eastAsia="Times New Roman" w:hAnsi="Arial" w:cs="Arial"/>
          <w:sz w:val="20"/>
          <w:szCs w:val="20"/>
          <w:lang w:val="es-ES_tradnl" w:eastAsia="es-ES"/>
        </w:rPr>
        <w:t xml:space="preserve">que respecta </w:t>
      </w:r>
      <w:r w:rsidR="00475DA0">
        <w:rPr>
          <w:rFonts w:ascii="Arial" w:eastAsia="Times New Roman" w:hAnsi="Arial" w:cs="Arial"/>
          <w:sz w:val="20"/>
          <w:szCs w:val="20"/>
          <w:lang w:val="es-ES_tradnl" w:eastAsia="es-ES"/>
        </w:rPr>
        <w:t>al PAC</w:t>
      </w:r>
      <w:r w:rsidR="00642A47">
        <w:rPr>
          <w:rFonts w:ascii="Arial" w:eastAsia="Times New Roman" w:hAnsi="Arial" w:cs="Arial"/>
          <w:sz w:val="20"/>
          <w:szCs w:val="20"/>
          <w:lang w:val="es-ES_tradnl" w:eastAsia="es-ES"/>
        </w:rPr>
        <w:t>,</w:t>
      </w:r>
      <w:r>
        <w:rPr>
          <w:rFonts w:ascii="Arial" w:eastAsia="Times New Roman" w:hAnsi="Arial" w:cs="Arial"/>
          <w:sz w:val="20"/>
          <w:szCs w:val="20"/>
          <w:lang w:val="es-ES_tradnl" w:eastAsia="es-ES"/>
        </w:rPr>
        <w:t xml:space="preserve"> se observa </w:t>
      </w:r>
      <w:r w:rsidR="00D75EE5">
        <w:rPr>
          <w:rFonts w:ascii="Arial" w:eastAsia="Times New Roman" w:hAnsi="Arial" w:cs="Arial"/>
          <w:sz w:val="20"/>
          <w:szCs w:val="20"/>
          <w:lang w:val="es-ES_tradnl" w:eastAsia="es-ES"/>
        </w:rPr>
        <w:t>cumplimiento parcial</w:t>
      </w:r>
      <w:r>
        <w:rPr>
          <w:rFonts w:ascii="Arial" w:eastAsia="Times New Roman" w:hAnsi="Arial" w:cs="Arial"/>
          <w:sz w:val="20"/>
          <w:szCs w:val="20"/>
          <w:lang w:val="es-ES_tradnl" w:eastAsia="es-ES"/>
        </w:rPr>
        <w:t xml:space="preserve"> por parte de</w:t>
      </w:r>
      <w:r w:rsidR="00642A47">
        <w:rPr>
          <w:rFonts w:ascii="Arial" w:eastAsia="Times New Roman" w:hAnsi="Arial" w:cs="Arial"/>
          <w:sz w:val="20"/>
          <w:szCs w:val="20"/>
          <w:lang w:val="es-ES_tradnl" w:eastAsia="es-ES"/>
        </w:rPr>
        <w:t>l</w:t>
      </w:r>
      <w:r w:rsidR="00642A47" w:rsidRPr="00475DA0">
        <w:rPr>
          <w:rFonts w:ascii="Arial" w:eastAsia="Times New Roman" w:hAnsi="Arial" w:cs="Arial"/>
          <w:sz w:val="20"/>
          <w:szCs w:val="20"/>
          <w:lang w:val="es-ES_tradnl" w:eastAsia="es-ES"/>
        </w:rPr>
        <w:t xml:space="preserve"> Grupo de Gestión Financiera </w:t>
      </w:r>
      <w:r>
        <w:rPr>
          <w:rFonts w:ascii="Arial" w:eastAsia="Times New Roman" w:hAnsi="Arial" w:cs="Arial"/>
          <w:sz w:val="20"/>
          <w:szCs w:val="20"/>
          <w:lang w:val="es-ES_tradnl" w:eastAsia="es-ES"/>
        </w:rPr>
        <w:t xml:space="preserve">en este tema, toda vez que </w:t>
      </w:r>
      <w:r w:rsidR="00475DA0" w:rsidRPr="00475DA0">
        <w:rPr>
          <w:rFonts w:ascii="Arial" w:eastAsia="Times New Roman" w:hAnsi="Arial" w:cs="Arial"/>
          <w:sz w:val="20"/>
          <w:szCs w:val="20"/>
          <w:lang w:val="es-ES_tradnl" w:eastAsia="es-ES"/>
        </w:rPr>
        <w:t xml:space="preserve">a pesar del control que </w:t>
      </w:r>
      <w:r>
        <w:rPr>
          <w:rFonts w:ascii="Arial" w:eastAsia="Times New Roman" w:hAnsi="Arial" w:cs="Arial"/>
          <w:sz w:val="20"/>
          <w:szCs w:val="20"/>
          <w:lang w:val="es-ES_tradnl" w:eastAsia="es-ES"/>
        </w:rPr>
        <w:t xml:space="preserve">se </w:t>
      </w:r>
      <w:r w:rsidR="00475DA0" w:rsidRPr="00475DA0">
        <w:rPr>
          <w:rFonts w:ascii="Arial" w:eastAsia="Times New Roman" w:hAnsi="Arial" w:cs="Arial"/>
          <w:sz w:val="20"/>
          <w:szCs w:val="20"/>
          <w:lang w:val="es-ES_tradnl" w:eastAsia="es-ES"/>
        </w:rPr>
        <w:t xml:space="preserve">ejerce a través de los correos electrónicos enviados mensualmente a los jefes de las dependencias responsables de su ejecución, se </w:t>
      </w:r>
      <w:r w:rsidR="00642A47">
        <w:rPr>
          <w:rFonts w:ascii="Arial" w:eastAsia="Times New Roman" w:hAnsi="Arial" w:cs="Arial"/>
          <w:sz w:val="20"/>
          <w:szCs w:val="20"/>
          <w:lang w:val="es-ES_tradnl" w:eastAsia="es-ES"/>
        </w:rPr>
        <w:t>evidencia</w:t>
      </w:r>
      <w:r w:rsidR="00475DA0" w:rsidRPr="00475DA0">
        <w:rPr>
          <w:rFonts w:ascii="Arial" w:eastAsia="Times New Roman" w:hAnsi="Arial" w:cs="Arial"/>
          <w:sz w:val="20"/>
          <w:szCs w:val="20"/>
          <w:lang w:val="es-ES_tradnl" w:eastAsia="es-ES"/>
        </w:rPr>
        <w:t xml:space="preserve"> que existe debilidad frente a la realización</w:t>
      </w:r>
      <w:r w:rsidR="00642A47">
        <w:rPr>
          <w:rFonts w:ascii="Arial" w:eastAsia="Times New Roman" w:hAnsi="Arial" w:cs="Arial"/>
          <w:sz w:val="20"/>
          <w:szCs w:val="20"/>
          <w:lang w:val="es-ES_tradnl" w:eastAsia="es-ES"/>
        </w:rPr>
        <w:t xml:space="preserve"> de acciones de mejora inmediatas </w:t>
      </w:r>
      <w:r w:rsidR="009671F3">
        <w:rPr>
          <w:rFonts w:ascii="Arial" w:eastAsia="Times New Roman" w:hAnsi="Arial" w:cs="Arial"/>
          <w:sz w:val="20"/>
          <w:szCs w:val="20"/>
          <w:lang w:val="es-ES_tradnl" w:eastAsia="es-ES"/>
        </w:rPr>
        <w:t xml:space="preserve">tales como </w:t>
      </w:r>
      <w:r w:rsidR="00475DA0" w:rsidRPr="00475DA0">
        <w:rPr>
          <w:rFonts w:ascii="Arial" w:eastAsia="Times New Roman" w:hAnsi="Arial" w:cs="Arial"/>
          <w:sz w:val="20"/>
          <w:szCs w:val="20"/>
          <w:lang w:val="es-ES_tradnl" w:eastAsia="es-ES"/>
        </w:rPr>
        <w:t xml:space="preserve">socializaciones que sensibilicen y concienticen acerca de la importancia y las </w:t>
      </w:r>
      <w:r w:rsidR="00475DA0" w:rsidRPr="00475DA0">
        <w:rPr>
          <w:rFonts w:ascii="Arial" w:eastAsia="Times New Roman" w:hAnsi="Arial" w:cs="Arial"/>
          <w:sz w:val="20"/>
          <w:szCs w:val="20"/>
          <w:lang w:val="es-ES_tradnl" w:eastAsia="es-ES"/>
        </w:rPr>
        <w:lastRenderedPageBreak/>
        <w:t>consecuencias que conlleva una baja ejecución del PAC de acuerdo con las políticas establecida</w:t>
      </w:r>
      <w:r w:rsidR="00E73075">
        <w:rPr>
          <w:rFonts w:ascii="Arial" w:eastAsia="Times New Roman" w:hAnsi="Arial" w:cs="Arial"/>
          <w:sz w:val="20"/>
          <w:szCs w:val="20"/>
          <w:lang w:val="es-ES_tradnl" w:eastAsia="es-ES"/>
        </w:rPr>
        <w:t xml:space="preserve">s por </w:t>
      </w:r>
      <w:r w:rsidR="004056EA">
        <w:rPr>
          <w:rFonts w:ascii="Arial" w:eastAsia="Times New Roman" w:hAnsi="Arial" w:cs="Arial"/>
          <w:sz w:val="20"/>
          <w:szCs w:val="20"/>
          <w:lang w:val="es-ES_tradnl" w:eastAsia="es-ES"/>
        </w:rPr>
        <w:t>el Ministerio de Hacienda.</w:t>
      </w:r>
    </w:p>
    <w:p w14:paraId="66C58A49" w14:textId="77777777" w:rsidR="00757B60" w:rsidRDefault="00757B60" w:rsidP="00127090">
      <w:pPr>
        <w:spacing w:after="0"/>
        <w:jc w:val="both"/>
        <w:rPr>
          <w:rFonts w:ascii="Arial" w:eastAsia="Calibri" w:hAnsi="Arial" w:cs="Arial"/>
          <w:b/>
          <w:sz w:val="20"/>
          <w:szCs w:val="20"/>
          <w:lang w:val="es-CO" w:eastAsia="es-ES"/>
        </w:rPr>
      </w:pPr>
    </w:p>
    <w:p w14:paraId="74E63010" w14:textId="116B1E07" w:rsidR="00E40214" w:rsidRDefault="00E40214" w:rsidP="00127090">
      <w:p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5.1.</w:t>
      </w:r>
      <w:r w:rsidR="00DA6DE2">
        <w:rPr>
          <w:rFonts w:ascii="Arial" w:eastAsia="Calibri" w:hAnsi="Arial" w:cs="Arial"/>
          <w:b/>
          <w:sz w:val="20"/>
          <w:szCs w:val="20"/>
          <w:lang w:val="es-CO" w:eastAsia="es-ES"/>
        </w:rPr>
        <w:t>6</w:t>
      </w:r>
      <w:r>
        <w:rPr>
          <w:rFonts w:ascii="Arial" w:eastAsia="Calibri" w:hAnsi="Arial" w:cs="Arial"/>
          <w:b/>
          <w:sz w:val="20"/>
          <w:szCs w:val="20"/>
          <w:lang w:val="es-CO" w:eastAsia="es-ES"/>
        </w:rPr>
        <w:tab/>
        <w:t>Seguimiento</w:t>
      </w:r>
    </w:p>
    <w:p w14:paraId="3DCED497" w14:textId="77777777" w:rsidR="001C6EC9" w:rsidRDefault="001C6EC9" w:rsidP="00127090">
      <w:pPr>
        <w:spacing w:after="0"/>
        <w:jc w:val="both"/>
        <w:rPr>
          <w:rFonts w:ascii="Arial" w:eastAsia="Calibri" w:hAnsi="Arial" w:cs="Arial"/>
          <w:b/>
          <w:sz w:val="20"/>
          <w:szCs w:val="20"/>
          <w:lang w:val="es-CO" w:eastAsia="es-ES"/>
        </w:rPr>
      </w:pPr>
    </w:p>
    <w:p w14:paraId="22FDAE18" w14:textId="77777777" w:rsidR="001C6EC9" w:rsidRPr="009649CB" w:rsidRDefault="001C6EC9" w:rsidP="001C6EC9">
      <w:pPr>
        <w:jc w:val="both"/>
        <w:rPr>
          <w:rFonts w:ascii="Arial" w:eastAsia="Calibri" w:hAnsi="Arial" w:cs="Arial"/>
          <w:sz w:val="20"/>
          <w:szCs w:val="20"/>
          <w:lang w:val="es-CO" w:eastAsia="es-ES"/>
        </w:rPr>
      </w:pPr>
      <w:r w:rsidRPr="009649CB">
        <w:rPr>
          <w:rFonts w:ascii="Arial" w:eastAsia="Calibri" w:hAnsi="Arial" w:cs="Arial"/>
          <w:sz w:val="20"/>
          <w:szCs w:val="20"/>
          <w:lang w:val="es-CO" w:eastAsia="es-ES"/>
        </w:rPr>
        <w:t>Para finalizar este acápite del informe se adentra en el seguimiento que debe hacer el responsable del proceso. Para ello se aplica la herramienta citada con el fin de establecer el nivel de madurez del Sistema de Control Interno asociado al seguimiento. Los resultados obtenidos se muestran en la siguiente gráfica:</w:t>
      </w:r>
    </w:p>
    <w:p w14:paraId="790C95D3" w14:textId="77777777" w:rsidR="00872017" w:rsidRDefault="001C6EC9" w:rsidP="00872017">
      <w:pPr>
        <w:spacing w:after="0"/>
        <w:jc w:val="center"/>
        <w:rPr>
          <w:rFonts w:ascii="Arial" w:hAnsi="Arial" w:cs="Arial"/>
          <w:sz w:val="10"/>
          <w:szCs w:val="10"/>
          <w:lang w:val="es-419"/>
        </w:rPr>
      </w:pPr>
      <w:r w:rsidRPr="009649CB">
        <w:rPr>
          <w:rFonts w:ascii="Arial" w:hAnsi="Arial" w:cs="Arial"/>
          <w:noProof/>
          <w:sz w:val="20"/>
          <w:szCs w:val="20"/>
          <w:lang w:eastAsia="es-ES"/>
        </w:rPr>
        <w:drawing>
          <wp:inline distT="0" distB="0" distL="0" distR="0" wp14:anchorId="6F9228C9" wp14:editId="1531739B">
            <wp:extent cx="4398755" cy="1590675"/>
            <wp:effectExtent l="0" t="0" r="1905" b="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447832" cy="1608422"/>
                    </a:xfrm>
                    <a:prstGeom prst="rect">
                      <a:avLst/>
                    </a:prstGeom>
                  </pic:spPr>
                </pic:pic>
              </a:graphicData>
            </a:graphic>
          </wp:inline>
        </w:drawing>
      </w:r>
    </w:p>
    <w:p w14:paraId="72DCA7F3" w14:textId="77777777" w:rsidR="00872017" w:rsidRPr="009649CB" w:rsidRDefault="00872017" w:rsidP="00872017">
      <w:pPr>
        <w:spacing w:after="0"/>
        <w:rPr>
          <w:rFonts w:ascii="Arial" w:eastAsia="Calibri" w:hAnsi="Arial" w:cs="Arial"/>
          <w:sz w:val="20"/>
          <w:szCs w:val="20"/>
          <w:lang w:val="es-CO" w:eastAsia="es-ES"/>
        </w:rPr>
      </w:pPr>
      <w:r>
        <w:rPr>
          <w:rFonts w:ascii="Arial" w:hAnsi="Arial" w:cs="Arial"/>
          <w:sz w:val="10"/>
          <w:szCs w:val="10"/>
          <w:lang w:val="es-419"/>
        </w:rPr>
        <w:t xml:space="preserve">                                                  </w:t>
      </w:r>
      <w:r w:rsidRPr="00605E87">
        <w:rPr>
          <w:rFonts w:ascii="Arial" w:hAnsi="Arial" w:cs="Arial"/>
          <w:sz w:val="10"/>
          <w:szCs w:val="10"/>
          <w:lang w:val="es-419"/>
        </w:rPr>
        <w:t>Fuente: Equipo Auditor</w:t>
      </w:r>
    </w:p>
    <w:p w14:paraId="16240F7D" w14:textId="77777777" w:rsidR="00872017" w:rsidRDefault="00872017" w:rsidP="001C6EC9">
      <w:pPr>
        <w:spacing w:after="0"/>
        <w:jc w:val="both"/>
        <w:rPr>
          <w:rFonts w:ascii="Arial" w:eastAsia="Calibri" w:hAnsi="Arial" w:cs="Arial"/>
          <w:sz w:val="20"/>
          <w:szCs w:val="20"/>
          <w:lang w:val="es-CO" w:eastAsia="es-ES"/>
        </w:rPr>
      </w:pPr>
    </w:p>
    <w:p w14:paraId="0072EBC8" w14:textId="093B7259" w:rsidR="001C6EC9" w:rsidRPr="009649CB" w:rsidRDefault="001C6EC9" w:rsidP="001C6EC9">
      <w:pPr>
        <w:spacing w:after="0"/>
        <w:jc w:val="both"/>
        <w:rPr>
          <w:rFonts w:ascii="Arial" w:eastAsia="Calibri" w:hAnsi="Arial" w:cs="Arial"/>
          <w:i/>
          <w:sz w:val="20"/>
          <w:szCs w:val="20"/>
          <w:lang w:val="es-CO" w:eastAsia="es-ES"/>
        </w:rPr>
      </w:pPr>
      <w:r w:rsidRPr="009649CB">
        <w:rPr>
          <w:rFonts w:ascii="Arial" w:eastAsia="Calibri" w:hAnsi="Arial" w:cs="Arial"/>
          <w:sz w:val="20"/>
          <w:szCs w:val="20"/>
          <w:lang w:val="es-CO" w:eastAsia="es-ES"/>
        </w:rPr>
        <w:t>Del análisis de datos se tiene que los servidores consideran que el Seguimiento está de acuerdo con las necesidades, dado que se ubica en el 68% del valor máximo posible en la escala de Likert, metodología utilizada en la herramienta de evalua</w:t>
      </w:r>
      <w:r w:rsidR="008D234B">
        <w:rPr>
          <w:rFonts w:ascii="Arial" w:eastAsia="Calibri" w:hAnsi="Arial" w:cs="Arial"/>
          <w:sz w:val="20"/>
          <w:szCs w:val="20"/>
          <w:lang w:val="es-CO" w:eastAsia="es-ES"/>
        </w:rPr>
        <w:t xml:space="preserve">ción. Lo anterior significa que </w:t>
      </w:r>
      <w:r w:rsidR="008D234B" w:rsidRPr="00CC0D75">
        <w:rPr>
          <w:rFonts w:ascii="Arial" w:eastAsia="Calibri" w:hAnsi="Arial" w:cs="Arial"/>
          <w:sz w:val="18"/>
          <w:szCs w:val="18"/>
          <w:lang w:val="es-CO" w:eastAsia="es-ES"/>
        </w:rPr>
        <w:t>“</w:t>
      </w:r>
      <w:r w:rsidRPr="00CC0D75">
        <w:rPr>
          <w:rFonts w:ascii="Arial" w:eastAsia="Calibri" w:hAnsi="Arial" w:cs="Arial"/>
          <w:sz w:val="18"/>
          <w:szCs w:val="18"/>
          <w:lang w:val="es-CO" w:eastAsia="es-ES"/>
        </w:rPr>
        <w:t>Hay</w:t>
      </w:r>
      <w:r w:rsidRPr="00CC0D75">
        <w:rPr>
          <w:rFonts w:ascii="Arial" w:eastAsia="Calibri" w:hAnsi="Arial" w:cs="Arial"/>
          <w:i/>
          <w:sz w:val="18"/>
          <w:szCs w:val="18"/>
          <w:lang w:val="es-CO" w:eastAsia="es-ES"/>
        </w:rPr>
        <w:t xml:space="preserve"> evidencia que el modelo seguimiento a la gestión del proceso esta adecuadamente estructurado y se usa como fuente de información del proceso para corregir l</w:t>
      </w:r>
      <w:r w:rsidR="008D234B" w:rsidRPr="00CC0D75">
        <w:rPr>
          <w:rFonts w:ascii="Arial" w:eastAsia="Calibri" w:hAnsi="Arial" w:cs="Arial"/>
          <w:i/>
          <w:sz w:val="18"/>
          <w:szCs w:val="18"/>
          <w:lang w:val="es-CO" w:eastAsia="es-ES"/>
        </w:rPr>
        <w:t>as de</w:t>
      </w:r>
      <w:r w:rsidR="00755862">
        <w:rPr>
          <w:rFonts w:ascii="Arial" w:eastAsia="Calibri" w:hAnsi="Arial" w:cs="Arial"/>
          <w:i/>
          <w:sz w:val="18"/>
          <w:szCs w:val="18"/>
          <w:lang w:val="es-CO" w:eastAsia="es-ES"/>
        </w:rPr>
        <w:t>s</w:t>
      </w:r>
      <w:r w:rsidR="008D234B" w:rsidRPr="00CC0D75">
        <w:rPr>
          <w:rFonts w:ascii="Arial" w:eastAsia="Calibri" w:hAnsi="Arial" w:cs="Arial"/>
          <w:i/>
          <w:sz w:val="18"/>
          <w:szCs w:val="18"/>
          <w:lang w:val="es-CO" w:eastAsia="es-ES"/>
        </w:rPr>
        <w:t>viaciones que se presentan</w:t>
      </w:r>
      <w:r w:rsidRPr="00CC0D75">
        <w:rPr>
          <w:rFonts w:ascii="Arial" w:eastAsia="Calibri" w:hAnsi="Arial" w:cs="Arial"/>
          <w:i/>
          <w:sz w:val="18"/>
          <w:szCs w:val="18"/>
          <w:lang w:val="es-CO" w:eastAsia="es-ES"/>
        </w:rPr>
        <w:t>”</w:t>
      </w:r>
      <w:r w:rsidR="008D234B" w:rsidRPr="00CC0D75">
        <w:rPr>
          <w:rFonts w:ascii="Arial" w:eastAsia="Calibri" w:hAnsi="Arial" w:cs="Arial"/>
          <w:i/>
          <w:sz w:val="18"/>
          <w:szCs w:val="18"/>
          <w:lang w:val="es-CO" w:eastAsia="es-ES"/>
        </w:rPr>
        <w:t>.</w:t>
      </w:r>
    </w:p>
    <w:p w14:paraId="53CC0211" w14:textId="77777777" w:rsidR="001C6EC9" w:rsidRPr="009649CB" w:rsidRDefault="001C6EC9" w:rsidP="001C6EC9">
      <w:pPr>
        <w:spacing w:after="0"/>
        <w:jc w:val="both"/>
        <w:rPr>
          <w:rFonts w:ascii="Arial" w:eastAsia="Calibri" w:hAnsi="Arial" w:cs="Arial"/>
          <w:sz w:val="20"/>
          <w:szCs w:val="20"/>
          <w:lang w:val="es-CO" w:eastAsia="es-ES"/>
        </w:rPr>
      </w:pPr>
    </w:p>
    <w:p w14:paraId="547818AC" w14:textId="54195F19" w:rsidR="00612569" w:rsidRDefault="001C6EC9" w:rsidP="001C6EC9">
      <w:pPr>
        <w:spacing w:after="0"/>
        <w:jc w:val="both"/>
        <w:rPr>
          <w:rFonts w:ascii="Arial" w:eastAsia="Calibri" w:hAnsi="Arial" w:cs="Arial"/>
          <w:sz w:val="20"/>
          <w:szCs w:val="20"/>
          <w:lang w:val="es-CO" w:eastAsia="es-ES"/>
        </w:rPr>
      </w:pPr>
      <w:r w:rsidRPr="009649CB">
        <w:rPr>
          <w:rFonts w:ascii="Arial" w:eastAsia="Calibri" w:hAnsi="Arial" w:cs="Arial"/>
          <w:sz w:val="20"/>
          <w:szCs w:val="20"/>
          <w:lang w:val="es-CO" w:eastAsia="es-ES"/>
        </w:rPr>
        <w:t>De otra parte, el promedio de las 20 afirmaciones de las tres pruebas aplicadas a los funcionarios del proceso da como resultado 3.</w:t>
      </w:r>
      <w:r w:rsidR="000739FB">
        <w:rPr>
          <w:rFonts w:ascii="Arial" w:eastAsia="Calibri" w:hAnsi="Arial" w:cs="Arial"/>
          <w:sz w:val="20"/>
          <w:szCs w:val="20"/>
          <w:lang w:val="es-CO" w:eastAsia="es-ES"/>
        </w:rPr>
        <w:t>8</w:t>
      </w:r>
      <w:r w:rsidRPr="009649CB">
        <w:rPr>
          <w:rFonts w:ascii="Arial" w:eastAsia="Calibri" w:hAnsi="Arial" w:cs="Arial"/>
          <w:sz w:val="20"/>
          <w:szCs w:val="20"/>
          <w:lang w:val="es-CO" w:eastAsia="es-ES"/>
        </w:rPr>
        <w:t xml:space="preserve"> en una escala 5/5.00 con una desviación estándar de 0.</w:t>
      </w:r>
      <w:r w:rsidR="000739FB">
        <w:rPr>
          <w:rFonts w:ascii="Arial" w:eastAsia="Calibri" w:hAnsi="Arial" w:cs="Arial"/>
          <w:sz w:val="20"/>
          <w:szCs w:val="20"/>
          <w:lang w:val="es-CO" w:eastAsia="es-ES"/>
        </w:rPr>
        <w:t>314</w:t>
      </w:r>
      <w:r w:rsidRPr="009649CB">
        <w:rPr>
          <w:rFonts w:ascii="Arial" w:eastAsia="Calibri" w:hAnsi="Arial" w:cs="Arial"/>
          <w:sz w:val="20"/>
          <w:szCs w:val="20"/>
          <w:lang w:val="es-CO" w:eastAsia="es-ES"/>
        </w:rPr>
        <w:t xml:space="preserve">.  Es así como el </w:t>
      </w:r>
      <w:r w:rsidR="00755862">
        <w:rPr>
          <w:rFonts w:ascii="Arial" w:eastAsia="Calibri" w:hAnsi="Arial" w:cs="Arial"/>
          <w:sz w:val="20"/>
          <w:szCs w:val="20"/>
          <w:lang w:val="es-CO" w:eastAsia="es-ES"/>
        </w:rPr>
        <w:t>Equipo A</w:t>
      </w:r>
      <w:r>
        <w:rPr>
          <w:rFonts w:ascii="Arial" w:eastAsia="Calibri" w:hAnsi="Arial" w:cs="Arial"/>
          <w:sz w:val="20"/>
          <w:szCs w:val="20"/>
          <w:lang w:val="es-CO" w:eastAsia="es-ES"/>
        </w:rPr>
        <w:t>u</w:t>
      </w:r>
      <w:r w:rsidRPr="009649CB">
        <w:rPr>
          <w:rFonts w:ascii="Arial" w:eastAsia="Calibri" w:hAnsi="Arial" w:cs="Arial"/>
          <w:sz w:val="20"/>
          <w:szCs w:val="20"/>
          <w:lang w:val="es-CO" w:eastAsia="es-ES"/>
        </w:rPr>
        <w:t>ditor de acuerdo con la metodología establecida, frente a este tema, también ve un terreno expedito para realizar acciones de seguimiento que aseguren una toma de decisiones en un entorno de certeza razonable teniendo como sustento la información de los anteriores componentes, todos ellos como herramienta de gerencia proclive a mejorar la gestión, minimizar costos de todo tipo y maximizar las acciones misionales en favor de los usuarios de la UARIV</w:t>
      </w:r>
      <w:r w:rsidR="00612569">
        <w:rPr>
          <w:rFonts w:ascii="Arial" w:eastAsia="Calibri" w:hAnsi="Arial" w:cs="Arial"/>
          <w:sz w:val="20"/>
          <w:szCs w:val="20"/>
          <w:lang w:val="es-CO" w:eastAsia="es-ES"/>
        </w:rPr>
        <w:t xml:space="preserve">. </w:t>
      </w:r>
    </w:p>
    <w:p w14:paraId="1E576344" w14:textId="77777777" w:rsidR="00612569" w:rsidRDefault="00612569" w:rsidP="001C6EC9">
      <w:pPr>
        <w:spacing w:after="0"/>
        <w:jc w:val="both"/>
        <w:rPr>
          <w:rFonts w:ascii="Arial" w:eastAsia="Calibri" w:hAnsi="Arial" w:cs="Arial"/>
          <w:sz w:val="20"/>
          <w:szCs w:val="20"/>
          <w:lang w:val="es-CO" w:eastAsia="es-ES"/>
        </w:rPr>
      </w:pPr>
    </w:p>
    <w:p w14:paraId="2A28D44A" w14:textId="42DF0E17" w:rsidR="00DA57EF" w:rsidRDefault="001C6EC9" w:rsidP="001C6EC9">
      <w:pPr>
        <w:spacing w:after="0"/>
        <w:jc w:val="both"/>
        <w:rPr>
          <w:rFonts w:ascii="Arial" w:eastAsia="Calibri" w:hAnsi="Arial" w:cs="Arial"/>
          <w:sz w:val="20"/>
          <w:szCs w:val="20"/>
          <w:lang w:val="es-CO" w:eastAsia="es-ES"/>
        </w:rPr>
      </w:pPr>
      <w:r w:rsidRPr="009649CB">
        <w:rPr>
          <w:rFonts w:ascii="Arial" w:eastAsia="Calibri" w:hAnsi="Arial" w:cs="Arial"/>
          <w:sz w:val="20"/>
          <w:szCs w:val="20"/>
          <w:lang w:val="es-CO" w:eastAsia="es-ES"/>
        </w:rPr>
        <w:t>En virtud de lo expuesto</w:t>
      </w:r>
      <w:r w:rsidR="008D234B">
        <w:rPr>
          <w:rFonts w:ascii="Arial" w:eastAsia="Calibri" w:hAnsi="Arial" w:cs="Arial"/>
          <w:sz w:val="20"/>
          <w:szCs w:val="20"/>
          <w:lang w:val="es-CO" w:eastAsia="es-ES"/>
        </w:rPr>
        <w:t>,</w:t>
      </w:r>
      <w:r w:rsidRPr="009649CB">
        <w:rPr>
          <w:rFonts w:ascii="Arial" w:eastAsia="Calibri" w:hAnsi="Arial" w:cs="Arial"/>
          <w:sz w:val="20"/>
          <w:szCs w:val="20"/>
          <w:lang w:val="es-CO" w:eastAsia="es-ES"/>
        </w:rPr>
        <w:t xml:space="preserve"> la Ley 87 de 1993 en su artículo 6º al hablar de la responsabilidad del control interno determina que</w:t>
      </w:r>
      <w:r w:rsidR="008D234B">
        <w:rPr>
          <w:rFonts w:ascii="Arial" w:eastAsia="Calibri" w:hAnsi="Arial" w:cs="Arial"/>
          <w:i/>
          <w:sz w:val="20"/>
          <w:szCs w:val="20"/>
          <w:lang w:val="es-CO" w:eastAsia="es-ES"/>
        </w:rPr>
        <w:t xml:space="preserve"> </w:t>
      </w:r>
      <w:r w:rsidRPr="00CC0D75">
        <w:rPr>
          <w:rFonts w:ascii="Arial" w:eastAsia="Calibri" w:hAnsi="Arial" w:cs="Arial"/>
          <w:i/>
          <w:sz w:val="18"/>
          <w:szCs w:val="18"/>
          <w:lang w:val="es-CO" w:eastAsia="es-ES"/>
        </w:rPr>
        <w:t>“El establecimiento y desarrollo del Sistema de Control Interno en los organismos y entidades públicas, será responsabilidad del representante legal o máximo directivo correspondiente. No obstante, la aplicación de los métodos y procedimientos al igual que la calidad, eficiencia y eficacia del control interno, también será de responsabilidad de los jefes de cada una de las distintas dependencias de las entidades y organismos”</w:t>
      </w:r>
      <w:r w:rsidR="00612569" w:rsidRPr="00CC0D75">
        <w:rPr>
          <w:rFonts w:ascii="Arial" w:eastAsia="Calibri" w:hAnsi="Arial" w:cs="Arial"/>
          <w:i/>
          <w:sz w:val="18"/>
          <w:szCs w:val="18"/>
          <w:lang w:val="es-CO" w:eastAsia="es-ES"/>
        </w:rPr>
        <w:t>.</w:t>
      </w:r>
      <w:r w:rsidR="008D234B">
        <w:rPr>
          <w:rFonts w:ascii="Arial" w:eastAsia="Calibri" w:hAnsi="Arial" w:cs="Arial"/>
          <w:i/>
          <w:sz w:val="20"/>
          <w:szCs w:val="20"/>
          <w:lang w:val="es-CO" w:eastAsia="es-ES"/>
        </w:rPr>
        <w:t xml:space="preserve"> </w:t>
      </w:r>
      <w:r w:rsidRPr="009649CB">
        <w:rPr>
          <w:rFonts w:ascii="Arial" w:eastAsia="Calibri" w:hAnsi="Arial" w:cs="Arial"/>
          <w:sz w:val="20"/>
          <w:szCs w:val="20"/>
          <w:lang w:val="es-CO" w:eastAsia="es-ES"/>
        </w:rPr>
        <w:t>En este sentido</w:t>
      </w:r>
      <w:r w:rsidR="008D234B">
        <w:rPr>
          <w:rFonts w:ascii="Arial" w:eastAsia="Calibri" w:hAnsi="Arial" w:cs="Arial"/>
          <w:sz w:val="20"/>
          <w:szCs w:val="20"/>
          <w:lang w:val="es-CO" w:eastAsia="es-ES"/>
        </w:rPr>
        <w:t>,</w:t>
      </w:r>
      <w:r w:rsidRPr="009649CB">
        <w:rPr>
          <w:rFonts w:ascii="Arial" w:eastAsia="Calibri" w:hAnsi="Arial" w:cs="Arial"/>
          <w:sz w:val="20"/>
          <w:szCs w:val="20"/>
          <w:lang w:val="es-CO" w:eastAsia="es-ES"/>
        </w:rPr>
        <w:t xml:space="preserve"> </w:t>
      </w:r>
      <w:r w:rsidR="008D234B">
        <w:rPr>
          <w:rFonts w:ascii="Arial" w:eastAsia="Calibri" w:hAnsi="Arial" w:cs="Arial"/>
          <w:sz w:val="20"/>
          <w:szCs w:val="20"/>
          <w:lang w:val="es-CO" w:eastAsia="es-ES"/>
        </w:rPr>
        <w:t>al</w:t>
      </w:r>
      <w:r w:rsidRPr="009649CB">
        <w:rPr>
          <w:rFonts w:ascii="Arial" w:eastAsia="Calibri" w:hAnsi="Arial" w:cs="Arial"/>
          <w:sz w:val="20"/>
          <w:szCs w:val="20"/>
          <w:lang w:val="es-CO" w:eastAsia="es-ES"/>
        </w:rPr>
        <w:t xml:space="preserve"> realizar el seguimiento a las acciones, actividades u objetivos propuestos se constituye en el baluarte de un modelo de control interno fuerte y en materia de la gestión presupuestal (dada su importancia estratégica y su gestión de apoyo) se materializa en la aplicación de los principios rectores de la gestión pública (igualdad, moralidad, eficiencia, economía, celeridad, imparcialidad, publicidad y valoración de costos ambientales).</w:t>
      </w:r>
    </w:p>
    <w:p w14:paraId="0DB39115" w14:textId="77777777" w:rsidR="001C6EC9" w:rsidRPr="009649CB" w:rsidRDefault="001C6EC9" w:rsidP="001C6EC9">
      <w:pPr>
        <w:spacing w:after="0"/>
        <w:jc w:val="both"/>
        <w:rPr>
          <w:rFonts w:ascii="Arial" w:eastAsia="Calibri" w:hAnsi="Arial" w:cs="Arial"/>
          <w:sz w:val="20"/>
          <w:szCs w:val="20"/>
          <w:lang w:val="es-CO" w:eastAsia="es-ES"/>
        </w:rPr>
      </w:pPr>
    </w:p>
    <w:p w14:paraId="7ED1D62E" w14:textId="77777777" w:rsidR="00891E3C" w:rsidRDefault="00CE6EFA" w:rsidP="00BF519D">
      <w:pPr>
        <w:pStyle w:val="Prrafodelista"/>
        <w:numPr>
          <w:ilvl w:val="1"/>
          <w:numId w:val="1"/>
        </w:numPr>
        <w:rPr>
          <w:rFonts w:ascii="Arial" w:eastAsia="Calibri" w:hAnsi="Arial" w:cs="Arial"/>
          <w:b/>
          <w:sz w:val="20"/>
          <w:szCs w:val="20"/>
          <w:lang w:val="es-CO" w:eastAsia="es-ES"/>
        </w:rPr>
      </w:pPr>
      <w:r w:rsidRPr="00CE6EFA">
        <w:rPr>
          <w:rFonts w:ascii="Arial" w:eastAsia="Calibri" w:hAnsi="Arial" w:cs="Arial"/>
          <w:b/>
          <w:sz w:val="20"/>
          <w:szCs w:val="20"/>
          <w:lang w:val="es-CO" w:eastAsia="es-ES"/>
        </w:rPr>
        <w:t xml:space="preserve">Ejecución Presupuestal </w:t>
      </w:r>
      <w:r>
        <w:rPr>
          <w:rFonts w:ascii="Arial" w:eastAsia="Calibri" w:hAnsi="Arial" w:cs="Arial"/>
          <w:b/>
          <w:sz w:val="20"/>
          <w:szCs w:val="20"/>
          <w:lang w:val="es-CO" w:eastAsia="es-ES"/>
        </w:rPr>
        <w:t>Primer Semestre del 2018</w:t>
      </w:r>
    </w:p>
    <w:p w14:paraId="5312AEE7" w14:textId="77777777" w:rsidR="00CE6EFA" w:rsidRPr="00CE6EFA" w:rsidRDefault="00CE6EFA" w:rsidP="00CE6EFA">
      <w:pPr>
        <w:tabs>
          <w:tab w:val="left" w:pos="910"/>
        </w:tabs>
        <w:spacing w:after="0"/>
        <w:jc w:val="both"/>
        <w:rPr>
          <w:rFonts w:ascii="Arial" w:eastAsia="Times New Roman" w:hAnsi="Arial" w:cs="Arial"/>
          <w:sz w:val="20"/>
          <w:szCs w:val="20"/>
          <w:lang w:eastAsia="es-ES"/>
        </w:rPr>
      </w:pPr>
      <w:r w:rsidRPr="00CE6EFA">
        <w:rPr>
          <w:noProof/>
          <w:sz w:val="20"/>
          <w:szCs w:val="20"/>
          <w:lang w:eastAsia="es-ES"/>
        </w:rPr>
        <w:lastRenderedPageBreak/>
        <w:drawing>
          <wp:anchor distT="0" distB="0" distL="114300" distR="114300" simplePos="0" relativeHeight="251658240" behindDoc="0" locked="0" layoutInCell="1" allowOverlap="1" wp14:anchorId="3616B052" wp14:editId="4F15480B">
            <wp:simplePos x="0" y="0"/>
            <wp:positionH relativeFrom="column">
              <wp:posOffset>201570</wp:posOffset>
            </wp:positionH>
            <wp:positionV relativeFrom="paragraph">
              <wp:posOffset>519212</wp:posOffset>
            </wp:positionV>
            <wp:extent cx="5242956" cy="657489"/>
            <wp:effectExtent l="0" t="0" r="0" b="9525"/>
            <wp:wrapTopAndBottom/>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42956" cy="657489"/>
                    </a:xfrm>
                    <a:prstGeom prst="rect">
                      <a:avLst/>
                    </a:prstGeom>
                    <a:noFill/>
                    <a:ln>
                      <a:noFill/>
                    </a:ln>
                  </pic:spPr>
                </pic:pic>
              </a:graphicData>
            </a:graphic>
          </wp:anchor>
        </w:drawing>
      </w:r>
      <w:r w:rsidRPr="00CE6EFA">
        <w:rPr>
          <w:rFonts w:ascii="Arial" w:eastAsia="Times New Roman" w:hAnsi="Arial" w:cs="Arial"/>
          <w:sz w:val="20"/>
          <w:szCs w:val="20"/>
          <w:lang w:eastAsia="es-ES"/>
        </w:rPr>
        <w:t>El presupuesto total asignado en la vigencia 2018 para adelantar la política de atención, asistencia y reparación integral a las víctimas del conflicto armado interno de acuerdo con el anexo del decreto de liquidación 2236 del 2017 asciende a $1.890.606.192.221</w:t>
      </w:r>
      <w:r w:rsidR="009A78F5">
        <w:rPr>
          <w:rFonts w:ascii="Arial" w:eastAsia="Times New Roman" w:hAnsi="Arial" w:cs="Arial"/>
          <w:sz w:val="20"/>
          <w:szCs w:val="20"/>
          <w:lang w:eastAsia="es-ES"/>
        </w:rPr>
        <w:t>,</w:t>
      </w:r>
      <w:r w:rsidRPr="00CE6EFA">
        <w:rPr>
          <w:rFonts w:ascii="Arial" w:eastAsia="Times New Roman" w:hAnsi="Arial" w:cs="Arial"/>
          <w:sz w:val="20"/>
          <w:szCs w:val="20"/>
          <w:lang w:eastAsia="es-ES"/>
        </w:rPr>
        <w:t xml:space="preserve"> así:</w:t>
      </w:r>
    </w:p>
    <w:p w14:paraId="0ECCA811" w14:textId="77777777" w:rsidR="00CE6EFA" w:rsidRPr="00CE6EFA" w:rsidRDefault="00CE6EFA" w:rsidP="00CE6EFA">
      <w:pPr>
        <w:tabs>
          <w:tab w:val="left" w:pos="910"/>
        </w:tabs>
        <w:spacing w:after="0"/>
        <w:jc w:val="both"/>
        <w:rPr>
          <w:rFonts w:ascii="Arial" w:eastAsia="Times New Roman" w:hAnsi="Arial" w:cs="Arial"/>
          <w:sz w:val="20"/>
          <w:szCs w:val="20"/>
          <w:lang w:eastAsia="es-ES"/>
        </w:rPr>
      </w:pPr>
    </w:p>
    <w:p w14:paraId="5C5846FA" w14:textId="77777777" w:rsidR="00CE6EFA" w:rsidRPr="00CE6EFA" w:rsidRDefault="00CE6EFA" w:rsidP="00CE6EFA">
      <w:pPr>
        <w:tabs>
          <w:tab w:val="left" w:pos="910"/>
        </w:tabs>
        <w:spacing w:after="0"/>
        <w:jc w:val="both"/>
        <w:rPr>
          <w:rFonts w:ascii="Arial" w:eastAsia="Times New Roman" w:hAnsi="Arial" w:cs="Arial"/>
          <w:sz w:val="20"/>
          <w:szCs w:val="20"/>
          <w:lang w:eastAsia="es-ES"/>
        </w:rPr>
      </w:pPr>
      <w:r w:rsidRPr="00CE6EFA">
        <w:rPr>
          <w:rFonts w:ascii="Arial" w:eastAsia="Times New Roman" w:hAnsi="Arial" w:cs="Arial"/>
          <w:sz w:val="20"/>
          <w:szCs w:val="20"/>
          <w:lang w:eastAsia="es-ES"/>
        </w:rPr>
        <w:t xml:space="preserve">De acuerdo con la información generada por el Sistema de Información Financiera SIIF y el Grupo de Gestión Financiera, la ejecución del presupuesto a 30 de junio de 2018 revela lo siguiente, teniendo en cuenta el aplazamiento al rubro de inversión de acuerdo con lo establecido en el decreto 662 del 17 de abril 2018:  </w:t>
      </w:r>
    </w:p>
    <w:p w14:paraId="41A7C481" w14:textId="77777777" w:rsidR="00CE6EFA" w:rsidRPr="00CE6EFA" w:rsidRDefault="00CE6EFA" w:rsidP="00CE6EFA">
      <w:pPr>
        <w:tabs>
          <w:tab w:val="left" w:pos="910"/>
        </w:tabs>
        <w:spacing w:after="0"/>
        <w:jc w:val="both"/>
        <w:rPr>
          <w:rFonts w:ascii="Arial" w:eastAsia="Times New Roman" w:hAnsi="Arial" w:cs="Arial"/>
          <w:sz w:val="20"/>
          <w:szCs w:val="20"/>
          <w:lang w:eastAsia="es-ES"/>
        </w:rPr>
      </w:pPr>
    </w:p>
    <w:p w14:paraId="5C2A60FA" w14:textId="77777777" w:rsidR="00CE6EFA" w:rsidRDefault="00CE6EFA" w:rsidP="00CE6EFA">
      <w:pPr>
        <w:tabs>
          <w:tab w:val="left" w:pos="910"/>
        </w:tabs>
        <w:spacing w:after="0"/>
        <w:jc w:val="center"/>
        <w:rPr>
          <w:rFonts w:ascii="Arial" w:eastAsia="Times New Roman" w:hAnsi="Arial" w:cs="Arial"/>
          <w:sz w:val="20"/>
          <w:szCs w:val="20"/>
          <w:lang w:eastAsia="es-ES"/>
        </w:rPr>
      </w:pPr>
      <w:r w:rsidRPr="00CE6EFA">
        <w:rPr>
          <w:rFonts w:ascii="Arial" w:eastAsia="Times New Roman" w:hAnsi="Arial" w:cs="Arial"/>
          <w:noProof/>
          <w:sz w:val="20"/>
          <w:szCs w:val="20"/>
          <w:lang w:eastAsia="es-ES"/>
        </w:rPr>
        <w:drawing>
          <wp:inline distT="0" distB="0" distL="0" distR="0" wp14:anchorId="36E27188" wp14:editId="7E2557FC">
            <wp:extent cx="5114925" cy="2409825"/>
            <wp:effectExtent l="19050" t="19050" r="28575" b="28575"/>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77788" cy="2439442"/>
                    </a:xfrm>
                    <a:prstGeom prst="rect">
                      <a:avLst/>
                    </a:prstGeom>
                    <a:noFill/>
                    <a:ln w="6350">
                      <a:solidFill>
                        <a:schemeClr val="tx1"/>
                      </a:solidFill>
                    </a:ln>
                  </pic:spPr>
                </pic:pic>
              </a:graphicData>
            </a:graphic>
          </wp:inline>
        </w:drawing>
      </w:r>
    </w:p>
    <w:p w14:paraId="60D74809" w14:textId="73A5ADDE" w:rsidR="006975E6" w:rsidRPr="00605E87" w:rsidRDefault="004D028B" w:rsidP="00605E87">
      <w:pPr>
        <w:tabs>
          <w:tab w:val="left" w:pos="910"/>
        </w:tabs>
        <w:spacing w:after="0" w:line="259" w:lineRule="auto"/>
        <w:rPr>
          <w:rFonts w:ascii="Arial" w:eastAsia="Times New Roman" w:hAnsi="Arial" w:cs="Arial"/>
          <w:sz w:val="10"/>
          <w:szCs w:val="20"/>
          <w:lang w:eastAsia="es-ES"/>
        </w:rPr>
      </w:pPr>
      <w:r w:rsidRPr="004D028B">
        <w:rPr>
          <w:rFonts w:ascii="Arial" w:eastAsia="Times New Roman" w:hAnsi="Arial" w:cs="Arial"/>
          <w:sz w:val="10"/>
          <w:szCs w:val="10"/>
          <w:lang w:eastAsia="es-ES"/>
        </w:rPr>
        <w:t xml:space="preserve">                      </w:t>
      </w:r>
      <w:r>
        <w:rPr>
          <w:rFonts w:ascii="Arial" w:eastAsia="Times New Roman" w:hAnsi="Arial" w:cs="Arial"/>
          <w:sz w:val="10"/>
          <w:szCs w:val="10"/>
          <w:lang w:eastAsia="es-ES"/>
        </w:rPr>
        <w:t xml:space="preserve">     </w:t>
      </w:r>
      <w:r w:rsidRPr="004D028B">
        <w:rPr>
          <w:rFonts w:ascii="Arial" w:eastAsia="Times New Roman" w:hAnsi="Arial" w:cs="Arial"/>
          <w:sz w:val="10"/>
          <w:szCs w:val="10"/>
          <w:lang w:eastAsia="es-ES"/>
        </w:rPr>
        <w:t xml:space="preserve">  </w:t>
      </w:r>
      <w:r w:rsidR="00193CE1">
        <w:rPr>
          <w:rFonts w:ascii="Arial" w:eastAsia="Times New Roman" w:hAnsi="Arial" w:cs="Arial"/>
          <w:sz w:val="10"/>
          <w:szCs w:val="10"/>
          <w:lang w:eastAsia="es-ES"/>
        </w:rPr>
        <w:t xml:space="preserve"> </w:t>
      </w:r>
      <w:r w:rsidR="00D75EE5">
        <w:rPr>
          <w:rFonts w:ascii="Arial" w:eastAsia="Times New Roman" w:hAnsi="Arial" w:cs="Arial"/>
          <w:sz w:val="10"/>
          <w:szCs w:val="10"/>
          <w:lang w:eastAsia="es-ES"/>
        </w:rPr>
        <w:t>Fuente: Propia</w:t>
      </w:r>
      <w:r w:rsidR="00BC73EC">
        <w:rPr>
          <w:rFonts w:ascii="Arial" w:eastAsia="Times New Roman" w:hAnsi="Arial" w:cs="Arial"/>
          <w:sz w:val="10"/>
          <w:szCs w:val="10"/>
          <w:lang w:eastAsia="es-ES"/>
        </w:rPr>
        <w:t xml:space="preserve"> Ejecución Presupuestal</w:t>
      </w:r>
    </w:p>
    <w:p w14:paraId="3DF36CB8" w14:textId="10527ECF" w:rsidR="00A006BE" w:rsidRDefault="00A006BE" w:rsidP="00891E3C">
      <w:pPr>
        <w:spacing w:after="0"/>
        <w:jc w:val="both"/>
        <w:rPr>
          <w:rFonts w:ascii="Arial" w:eastAsia="Calibri" w:hAnsi="Arial" w:cs="Arial"/>
          <w:b/>
          <w:sz w:val="20"/>
          <w:szCs w:val="20"/>
          <w:lang w:val="es-CO" w:eastAsia="es-ES"/>
        </w:rPr>
      </w:pPr>
    </w:p>
    <w:p w14:paraId="3A234747" w14:textId="7EF70CA8" w:rsidR="00375E1C" w:rsidRPr="00CB7B63" w:rsidRDefault="00375E1C" w:rsidP="00891E3C">
      <w:pPr>
        <w:spacing w:after="0"/>
        <w:jc w:val="both"/>
        <w:rPr>
          <w:rFonts w:ascii="Arial" w:eastAsia="Calibri" w:hAnsi="Arial" w:cs="Arial"/>
          <w:sz w:val="20"/>
          <w:szCs w:val="20"/>
          <w:lang w:val="es-CO" w:eastAsia="es-ES"/>
        </w:rPr>
      </w:pPr>
      <w:r>
        <w:rPr>
          <w:rFonts w:ascii="Arial" w:eastAsia="Calibri" w:hAnsi="Arial" w:cs="Arial"/>
          <w:sz w:val="20"/>
          <w:szCs w:val="20"/>
          <w:lang w:val="es-CO" w:eastAsia="es-ES"/>
        </w:rPr>
        <w:t>Para las siguientes matrices s</w:t>
      </w:r>
      <w:r w:rsidRPr="00375E1C">
        <w:rPr>
          <w:rFonts w:ascii="Arial" w:eastAsia="Calibri" w:hAnsi="Arial" w:cs="Arial"/>
          <w:sz w:val="20"/>
          <w:szCs w:val="20"/>
          <w:lang w:val="es-CO" w:eastAsia="es-ES"/>
        </w:rPr>
        <w:t>e toma como fuente de información</w:t>
      </w:r>
      <w:r>
        <w:rPr>
          <w:rFonts w:ascii="Arial" w:eastAsia="Calibri" w:hAnsi="Arial" w:cs="Arial"/>
          <w:sz w:val="20"/>
          <w:szCs w:val="20"/>
          <w:lang w:val="es-CO" w:eastAsia="es-ES"/>
        </w:rPr>
        <w:t xml:space="preserve"> </w:t>
      </w:r>
      <w:r w:rsidRPr="00375E1C">
        <w:rPr>
          <w:rFonts w:ascii="Arial" w:eastAsia="Calibri" w:hAnsi="Arial" w:cs="Arial"/>
          <w:sz w:val="20"/>
          <w:szCs w:val="20"/>
          <w:lang w:val="es-CO" w:eastAsia="es-ES"/>
        </w:rPr>
        <w:t>el archivo denominado</w:t>
      </w:r>
      <w:r>
        <w:rPr>
          <w:rFonts w:ascii="Arial" w:eastAsia="Calibri" w:hAnsi="Arial" w:cs="Arial"/>
          <w:sz w:val="20"/>
          <w:szCs w:val="20"/>
          <w:lang w:val="es-CO" w:eastAsia="es-ES"/>
        </w:rPr>
        <w:t xml:space="preserve">: </w:t>
      </w:r>
      <w:r w:rsidRPr="00375E1C">
        <w:rPr>
          <w:rFonts w:ascii="Arial" w:eastAsia="Calibri" w:hAnsi="Arial" w:cs="Arial"/>
          <w:i/>
          <w:sz w:val="18"/>
          <w:szCs w:val="18"/>
          <w:lang w:val="es-CO" w:eastAsia="es-ES"/>
        </w:rPr>
        <w:t>“EJECUCIÓN AGREGADA ACUMULADA A JUNIO DE 2018”</w:t>
      </w:r>
      <w:r w:rsidR="00DB678B">
        <w:rPr>
          <w:rFonts w:ascii="Arial" w:eastAsia="Calibri" w:hAnsi="Arial" w:cs="Arial"/>
          <w:i/>
          <w:sz w:val="18"/>
          <w:szCs w:val="18"/>
          <w:lang w:val="es-CO" w:eastAsia="es-ES"/>
        </w:rPr>
        <w:t xml:space="preserve"> </w:t>
      </w:r>
      <w:r w:rsidR="00DB678B" w:rsidRPr="00DB678B">
        <w:rPr>
          <w:rFonts w:ascii="Arial" w:eastAsia="Calibri" w:hAnsi="Arial" w:cs="Arial"/>
          <w:sz w:val="18"/>
          <w:szCs w:val="18"/>
          <w:lang w:val="es-CO" w:eastAsia="es-ES"/>
        </w:rPr>
        <w:t>tomada de TOTORO</w:t>
      </w:r>
      <w:r w:rsidR="00CB7B63">
        <w:rPr>
          <w:rFonts w:ascii="Arial" w:eastAsia="Calibri" w:hAnsi="Arial" w:cs="Arial"/>
          <w:i/>
          <w:sz w:val="18"/>
          <w:szCs w:val="18"/>
          <w:lang w:val="es-CO" w:eastAsia="es-ES"/>
        </w:rPr>
        <w:t>;</w:t>
      </w:r>
      <w:r>
        <w:rPr>
          <w:rFonts w:ascii="Arial" w:eastAsia="Calibri" w:hAnsi="Arial" w:cs="Arial"/>
          <w:i/>
          <w:sz w:val="18"/>
          <w:szCs w:val="18"/>
          <w:lang w:val="es-CO" w:eastAsia="es-ES"/>
        </w:rPr>
        <w:t xml:space="preserve"> </w:t>
      </w:r>
      <w:r w:rsidRPr="00375E1C">
        <w:rPr>
          <w:rFonts w:ascii="Arial" w:eastAsia="Calibri" w:hAnsi="Arial" w:cs="Arial"/>
          <w:sz w:val="18"/>
          <w:szCs w:val="18"/>
          <w:lang w:val="es-CO" w:eastAsia="es-ES"/>
        </w:rPr>
        <w:t xml:space="preserve">del cual el equipo auditor efectúa el análisis </w:t>
      </w:r>
      <w:r w:rsidR="00DB678B">
        <w:rPr>
          <w:rFonts w:ascii="Arial" w:eastAsia="Calibri" w:hAnsi="Arial" w:cs="Arial"/>
          <w:sz w:val="18"/>
          <w:szCs w:val="18"/>
          <w:lang w:val="es-CO" w:eastAsia="es-ES"/>
        </w:rPr>
        <w:t xml:space="preserve">de cada uno, </w:t>
      </w:r>
      <w:r>
        <w:rPr>
          <w:rFonts w:ascii="Arial" w:eastAsia="Calibri" w:hAnsi="Arial" w:cs="Arial"/>
          <w:sz w:val="20"/>
          <w:szCs w:val="20"/>
          <w:lang w:val="es-CO" w:eastAsia="es-ES"/>
        </w:rPr>
        <w:t>estableciendo avances porcentuales</w:t>
      </w:r>
      <w:r w:rsidR="00DB678B">
        <w:rPr>
          <w:rFonts w:ascii="Arial" w:eastAsia="Calibri" w:hAnsi="Arial" w:cs="Arial"/>
          <w:sz w:val="20"/>
          <w:szCs w:val="20"/>
          <w:lang w:val="es-CO" w:eastAsia="es-ES"/>
        </w:rPr>
        <w:t xml:space="preserve">, diferencias, rezagos y recursos pendiente por ejecutar. </w:t>
      </w:r>
    </w:p>
    <w:p w14:paraId="1AB510E1" w14:textId="77777777" w:rsidR="00375E1C" w:rsidRPr="004C11AA" w:rsidRDefault="00375E1C" w:rsidP="00891E3C">
      <w:pPr>
        <w:spacing w:after="0"/>
        <w:jc w:val="both"/>
        <w:rPr>
          <w:rFonts w:ascii="Arial" w:eastAsia="Calibri" w:hAnsi="Arial" w:cs="Arial"/>
          <w:b/>
          <w:sz w:val="20"/>
          <w:szCs w:val="20"/>
          <w:lang w:val="es-CO" w:eastAsia="es-ES"/>
        </w:rPr>
      </w:pPr>
    </w:p>
    <w:p w14:paraId="3E9E9474" w14:textId="77777777" w:rsidR="00F32F13" w:rsidRPr="009C7994" w:rsidRDefault="00CE6EFA" w:rsidP="00BF519D">
      <w:pPr>
        <w:pStyle w:val="Prrafodelista"/>
        <w:numPr>
          <w:ilvl w:val="2"/>
          <w:numId w:val="1"/>
        </w:numPr>
        <w:spacing w:after="0"/>
        <w:jc w:val="both"/>
        <w:rPr>
          <w:rFonts w:ascii="Arial" w:eastAsia="Calibri" w:hAnsi="Arial" w:cs="Arial"/>
          <w:b/>
          <w:sz w:val="20"/>
          <w:szCs w:val="20"/>
          <w:lang w:val="es-CO" w:eastAsia="es-ES"/>
        </w:rPr>
      </w:pPr>
      <w:r w:rsidRPr="009C7994">
        <w:rPr>
          <w:rFonts w:ascii="Arial" w:eastAsia="Calibri" w:hAnsi="Arial" w:cs="Arial"/>
          <w:b/>
          <w:sz w:val="20"/>
          <w:szCs w:val="20"/>
          <w:lang w:val="es-CO" w:eastAsia="es-ES"/>
        </w:rPr>
        <w:t>RUBRO DE FUNCIONAMIENTO</w:t>
      </w:r>
      <w:r w:rsidR="009C7994" w:rsidRPr="009C7994">
        <w:rPr>
          <w:rFonts w:ascii="Arial" w:eastAsia="Calibri" w:hAnsi="Arial" w:cs="Arial"/>
          <w:b/>
          <w:sz w:val="20"/>
          <w:szCs w:val="20"/>
          <w:lang w:val="es-CO" w:eastAsia="es-ES"/>
        </w:rPr>
        <w:t xml:space="preserve">: </w:t>
      </w:r>
    </w:p>
    <w:p w14:paraId="64B1F62A" w14:textId="77777777" w:rsidR="009C7994" w:rsidRDefault="009C7994" w:rsidP="009C7994">
      <w:pPr>
        <w:pStyle w:val="Prrafodelista"/>
        <w:spacing w:after="0"/>
        <w:jc w:val="both"/>
        <w:rPr>
          <w:rFonts w:ascii="Arial" w:eastAsia="Calibri" w:hAnsi="Arial" w:cs="Arial"/>
          <w:b/>
          <w:sz w:val="20"/>
          <w:szCs w:val="20"/>
          <w:lang w:val="es-CO" w:eastAsia="es-ES"/>
        </w:rPr>
      </w:pPr>
    </w:p>
    <w:p w14:paraId="1A3D82CD" w14:textId="77777777" w:rsidR="009C7994" w:rsidRPr="009C7994" w:rsidRDefault="009C7994" w:rsidP="009C7994">
      <w:pPr>
        <w:tabs>
          <w:tab w:val="left" w:pos="910"/>
        </w:tabs>
        <w:spacing w:after="0"/>
        <w:jc w:val="both"/>
        <w:rPr>
          <w:rFonts w:ascii="Calibri" w:eastAsia="Calibri" w:hAnsi="Calibri"/>
          <w:noProof/>
          <w:sz w:val="20"/>
          <w:szCs w:val="20"/>
        </w:rPr>
      </w:pPr>
      <w:r w:rsidRPr="009C7994">
        <w:rPr>
          <w:rFonts w:ascii="Arial" w:eastAsia="Times New Roman" w:hAnsi="Arial" w:cs="Arial"/>
          <w:sz w:val="20"/>
          <w:szCs w:val="20"/>
          <w:lang w:eastAsia="es-ES"/>
        </w:rPr>
        <w:t xml:space="preserve">Finalizado el primer semestre de 2018, la Unidad </w:t>
      </w:r>
      <w:r w:rsidRPr="009C7994">
        <w:rPr>
          <w:rFonts w:ascii="Arial" w:eastAsia="Calibri" w:hAnsi="Arial" w:cs="Arial"/>
          <w:sz w:val="20"/>
          <w:szCs w:val="20"/>
          <w:lang w:val="es-CO" w:eastAsia="es-CO"/>
        </w:rPr>
        <w:t>registra un avance acumulado en funcionamiento de 52,33% en compromisos y 49,21% en obligaciones y pagos respecto a las apropiaciones vigentes, la cual se puede apreciar en el siguiente cuadro:</w:t>
      </w:r>
      <w:r w:rsidRPr="009C7994">
        <w:rPr>
          <w:rFonts w:ascii="Calibri" w:eastAsia="Calibri" w:hAnsi="Calibri"/>
          <w:noProof/>
          <w:sz w:val="20"/>
          <w:szCs w:val="20"/>
        </w:rPr>
        <w:t xml:space="preserve"> </w:t>
      </w:r>
    </w:p>
    <w:p w14:paraId="44CFA845" w14:textId="77777777" w:rsidR="009C7994" w:rsidRPr="009C7994" w:rsidRDefault="009C7994" w:rsidP="009C7994">
      <w:pPr>
        <w:tabs>
          <w:tab w:val="left" w:pos="910"/>
        </w:tabs>
        <w:spacing w:after="0"/>
        <w:jc w:val="both"/>
        <w:rPr>
          <w:rFonts w:ascii="Calibri" w:eastAsia="Calibri" w:hAnsi="Calibri"/>
          <w:noProof/>
          <w:sz w:val="20"/>
          <w:szCs w:val="20"/>
        </w:rPr>
      </w:pPr>
    </w:p>
    <w:p w14:paraId="6D7748F0" w14:textId="77777777" w:rsidR="009C7994" w:rsidRPr="009C7994" w:rsidRDefault="009C7994" w:rsidP="009C7994">
      <w:pPr>
        <w:tabs>
          <w:tab w:val="left" w:pos="910"/>
        </w:tabs>
        <w:spacing w:after="0"/>
        <w:jc w:val="center"/>
        <w:rPr>
          <w:rFonts w:ascii="Arial" w:eastAsia="Calibri" w:hAnsi="Arial" w:cs="Arial"/>
          <w:sz w:val="20"/>
          <w:szCs w:val="20"/>
          <w:lang w:val="es-CO" w:eastAsia="es-CO"/>
        </w:rPr>
      </w:pPr>
      <w:r w:rsidRPr="009C7994">
        <w:rPr>
          <w:rFonts w:ascii="Calibri" w:eastAsia="Calibri" w:hAnsi="Calibri"/>
          <w:noProof/>
          <w:sz w:val="20"/>
          <w:szCs w:val="20"/>
          <w:lang w:eastAsia="es-ES"/>
        </w:rPr>
        <w:lastRenderedPageBreak/>
        <w:drawing>
          <wp:inline distT="0" distB="0" distL="0" distR="0" wp14:anchorId="771FE1B4" wp14:editId="414557FB">
            <wp:extent cx="5648325" cy="2914650"/>
            <wp:effectExtent l="0" t="0" r="9525"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69679" cy="2925669"/>
                    </a:xfrm>
                    <a:prstGeom prst="rect">
                      <a:avLst/>
                    </a:prstGeom>
                    <a:noFill/>
                    <a:ln>
                      <a:noFill/>
                    </a:ln>
                  </pic:spPr>
                </pic:pic>
              </a:graphicData>
            </a:graphic>
          </wp:inline>
        </w:drawing>
      </w:r>
    </w:p>
    <w:p w14:paraId="14361248" w14:textId="77777777" w:rsidR="004D028B" w:rsidRPr="004D028B" w:rsidRDefault="004D028B" w:rsidP="004D028B">
      <w:pPr>
        <w:tabs>
          <w:tab w:val="left" w:pos="910"/>
        </w:tabs>
        <w:spacing w:after="0" w:line="259" w:lineRule="auto"/>
        <w:rPr>
          <w:rFonts w:ascii="Arial" w:eastAsia="Times New Roman" w:hAnsi="Arial" w:cs="Arial"/>
          <w:sz w:val="10"/>
          <w:szCs w:val="20"/>
          <w:lang w:eastAsia="es-ES"/>
        </w:rPr>
      </w:pPr>
      <w:r>
        <w:rPr>
          <w:rFonts w:ascii="Arial" w:eastAsia="Times New Roman" w:hAnsi="Arial" w:cs="Arial"/>
          <w:sz w:val="10"/>
          <w:szCs w:val="20"/>
          <w:lang w:eastAsia="es-ES"/>
        </w:rPr>
        <w:t xml:space="preserve">              </w:t>
      </w:r>
      <w:r w:rsidRPr="004D028B">
        <w:rPr>
          <w:rFonts w:ascii="Arial" w:eastAsia="Times New Roman" w:hAnsi="Arial" w:cs="Arial"/>
          <w:sz w:val="10"/>
          <w:szCs w:val="20"/>
          <w:lang w:eastAsia="es-ES"/>
        </w:rPr>
        <w:t xml:space="preserve">Fuente: Matriz Ejecución Presupuestal </w:t>
      </w:r>
      <w:proofErr w:type="gramStart"/>
      <w:r>
        <w:rPr>
          <w:rFonts w:ascii="Arial" w:eastAsia="Times New Roman" w:hAnsi="Arial" w:cs="Arial"/>
          <w:sz w:val="10"/>
          <w:szCs w:val="20"/>
          <w:lang w:eastAsia="es-ES"/>
        </w:rPr>
        <w:t>Junio</w:t>
      </w:r>
      <w:proofErr w:type="gramEnd"/>
      <w:r>
        <w:rPr>
          <w:rFonts w:ascii="Arial" w:eastAsia="Times New Roman" w:hAnsi="Arial" w:cs="Arial"/>
          <w:sz w:val="10"/>
          <w:szCs w:val="20"/>
          <w:lang w:eastAsia="es-ES"/>
        </w:rPr>
        <w:t xml:space="preserve"> 2018 </w:t>
      </w:r>
      <w:r w:rsidRPr="004D028B">
        <w:rPr>
          <w:rFonts w:ascii="Arial" w:eastAsia="Times New Roman" w:hAnsi="Arial" w:cs="Arial"/>
          <w:sz w:val="10"/>
          <w:szCs w:val="20"/>
          <w:lang w:eastAsia="es-ES"/>
        </w:rPr>
        <w:t xml:space="preserve">TOTORO </w:t>
      </w:r>
    </w:p>
    <w:p w14:paraId="52032538" w14:textId="6BD5F63D" w:rsidR="009C7994" w:rsidRPr="009C7994" w:rsidRDefault="009C7994" w:rsidP="00127FE1">
      <w:pPr>
        <w:tabs>
          <w:tab w:val="left" w:pos="910"/>
        </w:tabs>
        <w:spacing w:after="0" w:line="259" w:lineRule="auto"/>
        <w:rPr>
          <w:rFonts w:ascii="Arial" w:eastAsia="Calibri" w:hAnsi="Arial" w:cs="Arial"/>
          <w:sz w:val="20"/>
          <w:szCs w:val="20"/>
          <w:lang w:val="es-CO" w:eastAsia="es-CO"/>
        </w:rPr>
      </w:pPr>
      <w:r w:rsidRPr="009C7994">
        <w:rPr>
          <w:rFonts w:ascii="Arial" w:eastAsia="Times New Roman" w:hAnsi="Arial" w:cs="Arial"/>
          <w:sz w:val="20"/>
          <w:szCs w:val="20"/>
          <w:lang w:val="es-CO" w:eastAsia="es-ES"/>
        </w:rPr>
        <w:t xml:space="preserve">Con base en </w:t>
      </w:r>
      <w:r w:rsidRPr="009C7994">
        <w:rPr>
          <w:rFonts w:ascii="Arial" w:eastAsia="Times New Roman" w:hAnsi="Arial" w:cs="Arial"/>
          <w:sz w:val="20"/>
          <w:szCs w:val="20"/>
          <w:lang w:eastAsia="es-ES"/>
        </w:rPr>
        <w:t xml:space="preserve">las cifras que aparecen registradas en el cuadro anterior, se observa que, </w:t>
      </w:r>
      <w:r w:rsidR="009A78F5">
        <w:rPr>
          <w:rFonts w:ascii="Arial" w:eastAsia="Times New Roman" w:hAnsi="Arial" w:cs="Arial"/>
          <w:sz w:val="20"/>
          <w:szCs w:val="20"/>
          <w:lang w:eastAsia="es-ES"/>
        </w:rPr>
        <w:t xml:space="preserve">cumplido el primer semestre de </w:t>
      </w:r>
      <w:r w:rsidRPr="009C7994">
        <w:rPr>
          <w:rFonts w:ascii="Arial" w:eastAsia="Times New Roman" w:hAnsi="Arial" w:cs="Arial"/>
          <w:sz w:val="20"/>
          <w:szCs w:val="20"/>
          <w:lang w:eastAsia="es-ES"/>
        </w:rPr>
        <w:t>2018, están pendiente por comprometer $</w:t>
      </w:r>
      <w:r w:rsidRPr="009C7994">
        <w:rPr>
          <w:rFonts w:ascii="Calibri" w:eastAsia="Calibri" w:hAnsi="Calibri"/>
          <w:sz w:val="20"/>
          <w:szCs w:val="20"/>
        </w:rPr>
        <w:t xml:space="preserve"> </w:t>
      </w:r>
      <w:r w:rsidRPr="009C7994">
        <w:rPr>
          <w:rFonts w:ascii="Arial" w:eastAsia="Times New Roman" w:hAnsi="Arial" w:cs="Arial"/>
          <w:sz w:val="20"/>
          <w:szCs w:val="20"/>
          <w:lang w:eastAsia="es-ES"/>
        </w:rPr>
        <w:t>332.145.433.706,782, equivalentes al</w:t>
      </w:r>
      <w:r w:rsidRPr="009C7994">
        <w:rPr>
          <w:rFonts w:ascii="Arial" w:eastAsia="Calibri" w:hAnsi="Arial" w:cs="Arial"/>
          <w:sz w:val="20"/>
          <w:szCs w:val="20"/>
          <w:lang w:val="es-CO" w:eastAsia="es-CO"/>
        </w:rPr>
        <w:t xml:space="preserve"> 47,67% del presupuesto asignado a la Unidad, como se evidencia a continuación: </w:t>
      </w:r>
    </w:p>
    <w:p w14:paraId="5DB7B181" w14:textId="77777777" w:rsidR="009C7994" w:rsidRPr="009C7994" w:rsidRDefault="009C7994" w:rsidP="009C7994">
      <w:pPr>
        <w:tabs>
          <w:tab w:val="left" w:pos="910"/>
        </w:tabs>
        <w:spacing w:after="0"/>
        <w:jc w:val="both"/>
        <w:rPr>
          <w:rFonts w:ascii="Arial" w:eastAsia="Calibri" w:hAnsi="Arial" w:cs="Arial"/>
          <w:sz w:val="20"/>
          <w:szCs w:val="20"/>
          <w:lang w:val="es-CO" w:eastAsia="es-CO"/>
        </w:rPr>
      </w:pPr>
    </w:p>
    <w:p w14:paraId="6B218BBC" w14:textId="77777777" w:rsidR="009C7994" w:rsidRPr="009C7994" w:rsidRDefault="009C7994" w:rsidP="009C7994">
      <w:pPr>
        <w:tabs>
          <w:tab w:val="left" w:pos="910"/>
        </w:tabs>
        <w:spacing w:after="0"/>
        <w:jc w:val="center"/>
        <w:rPr>
          <w:rFonts w:ascii="Arial" w:eastAsia="Calibri" w:hAnsi="Arial" w:cs="Arial"/>
          <w:sz w:val="20"/>
          <w:szCs w:val="20"/>
          <w:lang w:val="es-CO" w:eastAsia="es-CO"/>
        </w:rPr>
      </w:pPr>
      <w:r w:rsidRPr="009C7994">
        <w:rPr>
          <w:rFonts w:ascii="Calibri" w:eastAsia="Calibri" w:hAnsi="Calibri"/>
          <w:noProof/>
          <w:sz w:val="20"/>
          <w:szCs w:val="20"/>
          <w:lang w:eastAsia="es-ES"/>
        </w:rPr>
        <w:drawing>
          <wp:inline distT="0" distB="0" distL="0" distR="0" wp14:anchorId="5902C8AF" wp14:editId="1BDF6B6B">
            <wp:extent cx="5667375" cy="2657475"/>
            <wp:effectExtent l="0" t="0" r="9525" b="9525"/>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0827" cy="2687228"/>
                    </a:xfrm>
                    <a:prstGeom prst="rect">
                      <a:avLst/>
                    </a:prstGeom>
                    <a:noFill/>
                    <a:ln>
                      <a:noFill/>
                    </a:ln>
                  </pic:spPr>
                </pic:pic>
              </a:graphicData>
            </a:graphic>
          </wp:inline>
        </w:drawing>
      </w:r>
    </w:p>
    <w:p w14:paraId="00FA9E64" w14:textId="77777777" w:rsidR="004D028B" w:rsidRPr="004D028B" w:rsidRDefault="004D028B" w:rsidP="004D028B">
      <w:pPr>
        <w:tabs>
          <w:tab w:val="left" w:pos="910"/>
        </w:tabs>
        <w:spacing w:after="0" w:line="259" w:lineRule="auto"/>
        <w:rPr>
          <w:rFonts w:ascii="Arial" w:eastAsia="Times New Roman" w:hAnsi="Arial" w:cs="Arial"/>
          <w:sz w:val="10"/>
          <w:szCs w:val="20"/>
          <w:lang w:eastAsia="es-ES"/>
        </w:rPr>
      </w:pPr>
      <w:r>
        <w:rPr>
          <w:rFonts w:ascii="Arial" w:eastAsia="Times New Roman" w:hAnsi="Arial" w:cs="Arial"/>
          <w:sz w:val="10"/>
          <w:szCs w:val="20"/>
          <w:lang w:eastAsia="es-ES"/>
        </w:rPr>
        <w:t xml:space="preserve">                </w:t>
      </w:r>
      <w:r w:rsidRPr="004D028B">
        <w:rPr>
          <w:rFonts w:ascii="Arial" w:eastAsia="Times New Roman" w:hAnsi="Arial" w:cs="Arial"/>
          <w:sz w:val="10"/>
          <w:szCs w:val="20"/>
          <w:lang w:eastAsia="es-ES"/>
        </w:rPr>
        <w:t xml:space="preserve">Fuente: Matriz Ejecución Presupuestal </w:t>
      </w:r>
      <w:proofErr w:type="gramStart"/>
      <w:r>
        <w:rPr>
          <w:rFonts w:ascii="Arial" w:eastAsia="Times New Roman" w:hAnsi="Arial" w:cs="Arial"/>
          <w:sz w:val="10"/>
          <w:szCs w:val="20"/>
          <w:lang w:eastAsia="es-ES"/>
        </w:rPr>
        <w:t>Junio</w:t>
      </w:r>
      <w:proofErr w:type="gramEnd"/>
      <w:r>
        <w:rPr>
          <w:rFonts w:ascii="Arial" w:eastAsia="Times New Roman" w:hAnsi="Arial" w:cs="Arial"/>
          <w:sz w:val="10"/>
          <w:szCs w:val="20"/>
          <w:lang w:eastAsia="es-ES"/>
        </w:rPr>
        <w:t xml:space="preserve"> 2018 </w:t>
      </w:r>
      <w:r w:rsidRPr="004D028B">
        <w:rPr>
          <w:rFonts w:ascii="Arial" w:eastAsia="Times New Roman" w:hAnsi="Arial" w:cs="Arial"/>
          <w:sz w:val="10"/>
          <w:szCs w:val="20"/>
          <w:lang w:eastAsia="es-ES"/>
        </w:rPr>
        <w:t xml:space="preserve">TOTORO </w:t>
      </w:r>
    </w:p>
    <w:p w14:paraId="299B15CE" w14:textId="5C0A2A76" w:rsidR="004D028B" w:rsidRPr="004D028B" w:rsidRDefault="004D028B" w:rsidP="004D028B">
      <w:pPr>
        <w:tabs>
          <w:tab w:val="left" w:pos="910"/>
        </w:tabs>
        <w:spacing w:after="0" w:line="259" w:lineRule="auto"/>
        <w:rPr>
          <w:rFonts w:ascii="Arial" w:eastAsia="Times New Roman" w:hAnsi="Arial" w:cs="Arial"/>
          <w:sz w:val="10"/>
          <w:szCs w:val="20"/>
          <w:lang w:eastAsia="es-ES"/>
        </w:rPr>
      </w:pPr>
      <w:r>
        <w:rPr>
          <w:rFonts w:ascii="Arial" w:eastAsia="Times New Roman" w:hAnsi="Arial" w:cs="Arial"/>
          <w:sz w:val="10"/>
          <w:szCs w:val="20"/>
          <w:lang w:eastAsia="es-ES"/>
        </w:rPr>
        <w:t xml:space="preserve">                </w:t>
      </w:r>
    </w:p>
    <w:p w14:paraId="7222BCE5" w14:textId="77777777" w:rsidR="00BC493E" w:rsidRDefault="00BC493E" w:rsidP="009C7994">
      <w:pPr>
        <w:tabs>
          <w:tab w:val="left" w:pos="910"/>
        </w:tabs>
        <w:spacing w:after="0"/>
        <w:jc w:val="both"/>
        <w:rPr>
          <w:rFonts w:ascii="Arial" w:eastAsia="Calibri" w:hAnsi="Arial" w:cs="Arial"/>
          <w:sz w:val="20"/>
          <w:szCs w:val="20"/>
          <w:lang w:val="es-CO" w:eastAsia="es-CO"/>
        </w:rPr>
      </w:pPr>
    </w:p>
    <w:p w14:paraId="4A63CD1E" w14:textId="77777777" w:rsidR="009C7994" w:rsidRDefault="009C7994" w:rsidP="009C7994">
      <w:pPr>
        <w:tabs>
          <w:tab w:val="left" w:pos="910"/>
        </w:tabs>
        <w:spacing w:after="0"/>
        <w:jc w:val="both"/>
        <w:rPr>
          <w:rFonts w:ascii="Arial" w:eastAsia="Calibri" w:hAnsi="Arial" w:cs="Arial"/>
          <w:sz w:val="20"/>
          <w:szCs w:val="20"/>
          <w:lang w:val="es-CO" w:eastAsia="es-CO"/>
        </w:rPr>
      </w:pPr>
      <w:r w:rsidRPr="009C7994">
        <w:rPr>
          <w:rFonts w:ascii="Arial" w:eastAsia="Calibri" w:hAnsi="Arial" w:cs="Arial"/>
          <w:sz w:val="20"/>
          <w:szCs w:val="20"/>
          <w:lang w:val="es-CO" w:eastAsia="es-CO"/>
        </w:rPr>
        <w:t>Dado lo anterior, se evidencia mejora en el avance de lo comprometido con respecto a la vigencia anterior, donde a junio 30 de 2017 estaba pendiente por comprometer el 69,74%. No obstante, se evidencia que a pesar de lo comprometido en el primer semestre de 2018 en los rubros de funcionamiento se encuentran aún pendientes por comprometer, obligar y pagar más del 50% de la apropiación vigente, se anexa el cuadro siguiente como evidencia de lo descrito:</w:t>
      </w:r>
    </w:p>
    <w:p w14:paraId="71C0D4CF" w14:textId="77777777" w:rsidR="009C7994" w:rsidRPr="009C7994" w:rsidRDefault="009C7994" w:rsidP="009C7994">
      <w:pPr>
        <w:tabs>
          <w:tab w:val="left" w:pos="910"/>
        </w:tabs>
        <w:spacing w:after="0"/>
        <w:jc w:val="both"/>
        <w:rPr>
          <w:rFonts w:ascii="Arial" w:eastAsia="Calibri" w:hAnsi="Arial" w:cs="Arial"/>
          <w:sz w:val="20"/>
          <w:szCs w:val="20"/>
          <w:lang w:val="es-CO" w:eastAsia="es-CO"/>
        </w:rPr>
      </w:pPr>
    </w:p>
    <w:p w14:paraId="0DB0EC08" w14:textId="77777777" w:rsidR="009C7994" w:rsidRPr="009C7994" w:rsidRDefault="00205D72" w:rsidP="009C7994">
      <w:pPr>
        <w:tabs>
          <w:tab w:val="left" w:pos="910"/>
        </w:tabs>
        <w:spacing w:after="0"/>
        <w:jc w:val="center"/>
        <w:rPr>
          <w:rFonts w:ascii="Arial" w:eastAsia="Times New Roman" w:hAnsi="Arial" w:cs="Arial"/>
          <w:sz w:val="20"/>
          <w:szCs w:val="20"/>
          <w:lang w:eastAsia="es-ES"/>
        </w:rPr>
      </w:pPr>
      <w:r w:rsidRPr="00205D72">
        <w:rPr>
          <w:noProof/>
          <w:lang w:eastAsia="es-ES"/>
        </w:rPr>
        <w:lastRenderedPageBreak/>
        <w:drawing>
          <wp:inline distT="0" distB="0" distL="0" distR="0" wp14:anchorId="706D26DB" wp14:editId="6A2A5F5A">
            <wp:extent cx="5819775" cy="3057525"/>
            <wp:effectExtent l="0" t="0" r="9525"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45220" cy="3070893"/>
                    </a:xfrm>
                    <a:prstGeom prst="rect">
                      <a:avLst/>
                    </a:prstGeom>
                    <a:noFill/>
                    <a:ln>
                      <a:noFill/>
                    </a:ln>
                  </pic:spPr>
                </pic:pic>
              </a:graphicData>
            </a:graphic>
          </wp:inline>
        </w:drawing>
      </w:r>
    </w:p>
    <w:p w14:paraId="575BB8DC" w14:textId="0AFB8DDD" w:rsidR="004D028B" w:rsidRPr="004D028B" w:rsidRDefault="00CB7B63" w:rsidP="004D028B">
      <w:pPr>
        <w:tabs>
          <w:tab w:val="left" w:pos="910"/>
        </w:tabs>
        <w:spacing w:after="0" w:line="259" w:lineRule="auto"/>
        <w:rPr>
          <w:rFonts w:ascii="Arial" w:eastAsia="Times New Roman" w:hAnsi="Arial" w:cs="Arial"/>
          <w:sz w:val="10"/>
          <w:szCs w:val="20"/>
          <w:lang w:eastAsia="es-ES"/>
        </w:rPr>
      </w:pPr>
      <w:r>
        <w:rPr>
          <w:rFonts w:ascii="Arial" w:eastAsia="Times New Roman" w:hAnsi="Arial" w:cs="Arial"/>
          <w:sz w:val="10"/>
          <w:szCs w:val="20"/>
          <w:lang w:eastAsia="es-ES"/>
        </w:rPr>
        <w:t xml:space="preserve">   </w:t>
      </w:r>
      <w:r w:rsidR="004D028B" w:rsidRPr="004D028B">
        <w:rPr>
          <w:rFonts w:ascii="Arial" w:eastAsia="Times New Roman" w:hAnsi="Arial" w:cs="Arial"/>
          <w:sz w:val="10"/>
          <w:szCs w:val="20"/>
          <w:lang w:eastAsia="es-ES"/>
        </w:rPr>
        <w:t xml:space="preserve">Fuente: Matriz Ejecución Presupuestal </w:t>
      </w:r>
      <w:proofErr w:type="gramStart"/>
      <w:r w:rsidR="004D028B">
        <w:rPr>
          <w:rFonts w:ascii="Arial" w:eastAsia="Times New Roman" w:hAnsi="Arial" w:cs="Arial"/>
          <w:sz w:val="10"/>
          <w:szCs w:val="20"/>
          <w:lang w:eastAsia="es-ES"/>
        </w:rPr>
        <w:t>Junio</w:t>
      </w:r>
      <w:proofErr w:type="gramEnd"/>
      <w:r w:rsidR="004D028B">
        <w:rPr>
          <w:rFonts w:ascii="Arial" w:eastAsia="Times New Roman" w:hAnsi="Arial" w:cs="Arial"/>
          <w:sz w:val="10"/>
          <w:szCs w:val="20"/>
          <w:lang w:eastAsia="es-ES"/>
        </w:rPr>
        <w:t xml:space="preserve"> 2018 </w:t>
      </w:r>
      <w:r w:rsidR="004D028B" w:rsidRPr="004D028B">
        <w:rPr>
          <w:rFonts w:ascii="Arial" w:eastAsia="Times New Roman" w:hAnsi="Arial" w:cs="Arial"/>
          <w:sz w:val="10"/>
          <w:szCs w:val="20"/>
          <w:lang w:eastAsia="es-ES"/>
        </w:rPr>
        <w:t xml:space="preserve">TOTORO </w:t>
      </w:r>
    </w:p>
    <w:p w14:paraId="6E07F46B" w14:textId="28BFB221" w:rsidR="009C7994" w:rsidRDefault="009C7994" w:rsidP="00BC493E">
      <w:pPr>
        <w:tabs>
          <w:tab w:val="left" w:pos="910"/>
        </w:tabs>
        <w:spacing w:after="0" w:line="259" w:lineRule="auto"/>
        <w:jc w:val="both"/>
        <w:rPr>
          <w:rFonts w:ascii="Arial" w:eastAsia="Times New Roman" w:hAnsi="Arial" w:cs="Arial"/>
          <w:sz w:val="20"/>
          <w:szCs w:val="20"/>
          <w:lang w:eastAsia="es-ES"/>
        </w:rPr>
      </w:pPr>
      <w:r w:rsidRPr="009C7994">
        <w:rPr>
          <w:rFonts w:ascii="Arial" w:eastAsia="Times New Roman" w:hAnsi="Arial" w:cs="Arial"/>
          <w:sz w:val="20"/>
          <w:szCs w:val="20"/>
          <w:lang w:val="es-CO" w:eastAsia="es-ES"/>
        </w:rPr>
        <w:t xml:space="preserve">Sumado a lo anterior, en el cuadro siguiente </w:t>
      </w:r>
      <w:r w:rsidRPr="009C7994">
        <w:rPr>
          <w:rFonts w:ascii="Arial" w:eastAsia="Times New Roman" w:hAnsi="Arial" w:cs="Arial"/>
          <w:sz w:val="20"/>
          <w:szCs w:val="20"/>
          <w:lang w:eastAsia="es-ES"/>
        </w:rPr>
        <w:t>se observa una diferencia entre lo comprometido y obligado por $21.739.646.393,01, equivalente al 5,96%, representado así:</w:t>
      </w:r>
    </w:p>
    <w:p w14:paraId="42389146" w14:textId="77777777" w:rsidR="009C7994" w:rsidRPr="009C7994" w:rsidRDefault="009C7994" w:rsidP="009C7994">
      <w:pPr>
        <w:tabs>
          <w:tab w:val="left" w:pos="910"/>
        </w:tabs>
        <w:spacing w:after="0" w:line="259" w:lineRule="auto"/>
        <w:jc w:val="both"/>
        <w:rPr>
          <w:rFonts w:ascii="Arial" w:eastAsia="Times New Roman" w:hAnsi="Arial" w:cs="Arial"/>
          <w:sz w:val="20"/>
          <w:szCs w:val="20"/>
          <w:lang w:eastAsia="es-ES"/>
        </w:rPr>
      </w:pPr>
    </w:p>
    <w:p w14:paraId="5C3D025B" w14:textId="151DAE64" w:rsidR="004D028B" w:rsidRPr="004D028B" w:rsidRDefault="00205D72" w:rsidP="00BC493E">
      <w:pPr>
        <w:tabs>
          <w:tab w:val="left" w:pos="910"/>
        </w:tabs>
        <w:spacing w:after="0" w:line="259" w:lineRule="auto"/>
        <w:jc w:val="center"/>
        <w:rPr>
          <w:rFonts w:ascii="Arial" w:eastAsia="Times New Roman" w:hAnsi="Arial" w:cs="Arial"/>
          <w:sz w:val="10"/>
          <w:szCs w:val="20"/>
          <w:lang w:eastAsia="es-ES"/>
        </w:rPr>
      </w:pPr>
      <w:r w:rsidRPr="00205D72">
        <w:rPr>
          <w:noProof/>
          <w:lang w:eastAsia="es-ES"/>
        </w:rPr>
        <w:drawing>
          <wp:inline distT="0" distB="0" distL="0" distR="0" wp14:anchorId="797F5113" wp14:editId="1D380468">
            <wp:extent cx="5781675" cy="2695575"/>
            <wp:effectExtent l="19050" t="19050" r="28575" b="2857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25510" cy="2716012"/>
                    </a:xfrm>
                    <a:prstGeom prst="rect">
                      <a:avLst/>
                    </a:prstGeom>
                    <a:noFill/>
                    <a:ln w="12700">
                      <a:solidFill>
                        <a:schemeClr val="accent1"/>
                      </a:solidFill>
                    </a:ln>
                  </pic:spPr>
                </pic:pic>
              </a:graphicData>
            </a:graphic>
          </wp:inline>
        </w:drawing>
      </w:r>
      <w:r w:rsidR="004D028B">
        <w:rPr>
          <w:rFonts w:ascii="Arial" w:eastAsia="Times New Roman" w:hAnsi="Arial" w:cs="Arial"/>
          <w:sz w:val="10"/>
          <w:szCs w:val="20"/>
          <w:lang w:eastAsia="es-ES"/>
        </w:rPr>
        <w:t xml:space="preserve">                    </w:t>
      </w:r>
      <w:r>
        <w:rPr>
          <w:rFonts w:ascii="Arial" w:eastAsia="Times New Roman" w:hAnsi="Arial" w:cs="Arial"/>
          <w:sz w:val="10"/>
          <w:szCs w:val="20"/>
          <w:lang w:eastAsia="es-ES"/>
        </w:rPr>
        <w:t xml:space="preserve">                      </w:t>
      </w:r>
      <w:r w:rsidR="004D028B" w:rsidRPr="004D028B">
        <w:rPr>
          <w:rFonts w:ascii="Arial" w:eastAsia="Times New Roman" w:hAnsi="Arial" w:cs="Arial"/>
          <w:sz w:val="10"/>
          <w:szCs w:val="20"/>
          <w:lang w:eastAsia="es-ES"/>
        </w:rPr>
        <w:t xml:space="preserve">Fuente: Matriz Ejecución Presupuestal </w:t>
      </w:r>
      <w:proofErr w:type="gramStart"/>
      <w:r w:rsidR="004D028B">
        <w:rPr>
          <w:rFonts w:ascii="Arial" w:eastAsia="Times New Roman" w:hAnsi="Arial" w:cs="Arial"/>
          <w:sz w:val="10"/>
          <w:szCs w:val="20"/>
          <w:lang w:eastAsia="es-ES"/>
        </w:rPr>
        <w:t>Junio</w:t>
      </w:r>
      <w:proofErr w:type="gramEnd"/>
      <w:r w:rsidR="004D028B">
        <w:rPr>
          <w:rFonts w:ascii="Arial" w:eastAsia="Times New Roman" w:hAnsi="Arial" w:cs="Arial"/>
          <w:sz w:val="10"/>
          <w:szCs w:val="20"/>
          <w:lang w:eastAsia="es-ES"/>
        </w:rPr>
        <w:t xml:space="preserve"> 2018 </w:t>
      </w:r>
      <w:r w:rsidR="004D028B" w:rsidRPr="004D028B">
        <w:rPr>
          <w:rFonts w:ascii="Arial" w:eastAsia="Times New Roman" w:hAnsi="Arial" w:cs="Arial"/>
          <w:sz w:val="10"/>
          <w:szCs w:val="20"/>
          <w:lang w:eastAsia="es-ES"/>
        </w:rPr>
        <w:t xml:space="preserve">TOTORO </w:t>
      </w:r>
    </w:p>
    <w:p w14:paraId="2B9039BF" w14:textId="6F7E0A89" w:rsidR="004D028B" w:rsidRPr="004D028B" w:rsidRDefault="004D028B" w:rsidP="004D028B">
      <w:pPr>
        <w:tabs>
          <w:tab w:val="left" w:pos="910"/>
        </w:tabs>
        <w:spacing w:after="0" w:line="259" w:lineRule="auto"/>
        <w:rPr>
          <w:rFonts w:ascii="Arial" w:eastAsia="Times New Roman" w:hAnsi="Arial" w:cs="Arial"/>
          <w:sz w:val="10"/>
          <w:szCs w:val="20"/>
          <w:lang w:eastAsia="es-ES"/>
        </w:rPr>
      </w:pPr>
      <w:r>
        <w:rPr>
          <w:rFonts w:ascii="Arial" w:eastAsia="Times New Roman" w:hAnsi="Arial" w:cs="Arial"/>
          <w:sz w:val="10"/>
          <w:szCs w:val="20"/>
          <w:lang w:eastAsia="es-ES"/>
        </w:rPr>
        <w:t xml:space="preserve">                    </w:t>
      </w:r>
      <w:r w:rsidR="00205D72">
        <w:rPr>
          <w:rFonts w:ascii="Arial" w:eastAsia="Times New Roman" w:hAnsi="Arial" w:cs="Arial"/>
          <w:sz w:val="10"/>
          <w:szCs w:val="20"/>
          <w:lang w:eastAsia="es-ES"/>
        </w:rPr>
        <w:t xml:space="preserve">                      </w:t>
      </w:r>
    </w:p>
    <w:p w14:paraId="54A52D4E" w14:textId="08BE6D27" w:rsidR="009C7994" w:rsidRPr="009C7994" w:rsidRDefault="009C7994" w:rsidP="009C7994">
      <w:pPr>
        <w:tabs>
          <w:tab w:val="left" w:pos="910"/>
        </w:tabs>
        <w:spacing w:after="0" w:line="259" w:lineRule="auto"/>
        <w:jc w:val="both"/>
        <w:rPr>
          <w:rFonts w:ascii="Arial" w:eastAsia="Times New Roman" w:hAnsi="Arial" w:cs="Arial"/>
          <w:sz w:val="20"/>
          <w:szCs w:val="20"/>
          <w:lang w:eastAsia="es-ES"/>
        </w:rPr>
      </w:pPr>
      <w:r w:rsidRPr="009C7994">
        <w:rPr>
          <w:rFonts w:ascii="Arial" w:eastAsia="Times New Roman" w:hAnsi="Arial" w:cs="Arial"/>
          <w:sz w:val="20"/>
          <w:szCs w:val="20"/>
          <w:lang w:eastAsia="es-ES"/>
        </w:rPr>
        <w:t>No obstante, se evidencia que, a pesar de lo comprometido en el primer semestre de 2018, se presenta en tres (3) rubros que el porcentaje pendiente por obligar de acuerdo con el compromiso es superior al 40%, situación por la cual se recomienda que los responsables to</w:t>
      </w:r>
      <w:r w:rsidR="009A78F5">
        <w:rPr>
          <w:rFonts w:ascii="Arial" w:eastAsia="Times New Roman" w:hAnsi="Arial" w:cs="Arial"/>
          <w:sz w:val="20"/>
          <w:szCs w:val="20"/>
          <w:lang w:eastAsia="es-ES"/>
        </w:rPr>
        <w:t>men las medidas pertinentes</w:t>
      </w:r>
      <w:r w:rsidRPr="009C7994">
        <w:rPr>
          <w:rFonts w:ascii="Arial" w:eastAsia="Times New Roman" w:hAnsi="Arial" w:cs="Arial"/>
          <w:sz w:val="20"/>
          <w:szCs w:val="20"/>
          <w:lang w:eastAsia="es-ES"/>
        </w:rPr>
        <w:t xml:space="preserve">, y el Grupo de Gestión Financiera y Contable realice los controles y alertas correspondientes.  </w:t>
      </w:r>
    </w:p>
    <w:p w14:paraId="5FC7E5CC" w14:textId="77777777" w:rsidR="009C7994" w:rsidRPr="009C7994" w:rsidRDefault="009C7994" w:rsidP="009C7994">
      <w:pPr>
        <w:tabs>
          <w:tab w:val="left" w:pos="910"/>
        </w:tabs>
        <w:spacing w:after="0" w:line="259" w:lineRule="auto"/>
        <w:jc w:val="both"/>
        <w:rPr>
          <w:rFonts w:ascii="Arial" w:eastAsia="Times New Roman" w:hAnsi="Arial" w:cs="Arial"/>
          <w:sz w:val="20"/>
          <w:szCs w:val="20"/>
          <w:lang w:eastAsia="es-ES"/>
        </w:rPr>
      </w:pPr>
    </w:p>
    <w:p w14:paraId="12C7A27F" w14:textId="77777777" w:rsidR="009C7994" w:rsidRPr="009C7994" w:rsidRDefault="009C7994" w:rsidP="009C7994">
      <w:pPr>
        <w:tabs>
          <w:tab w:val="left" w:pos="910"/>
        </w:tabs>
        <w:spacing w:after="0"/>
        <w:contextualSpacing/>
        <w:jc w:val="both"/>
        <w:rPr>
          <w:rFonts w:ascii="Arial" w:eastAsia="Calibri" w:hAnsi="Arial" w:cs="Arial"/>
          <w:b/>
          <w:sz w:val="20"/>
          <w:szCs w:val="20"/>
          <w:lang w:val="es-CO" w:eastAsia="es-CO"/>
        </w:rPr>
      </w:pPr>
      <w:r w:rsidRPr="009C7994">
        <w:rPr>
          <w:rFonts w:ascii="Arial" w:eastAsia="Calibri" w:hAnsi="Arial" w:cs="Arial"/>
          <w:b/>
          <w:sz w:val="20"/>
          <w:szCs w:val="20"/>
          <w:lang w:val="es-CO" w:eastAsia="es-CO"/>
        </w:rPr>
        <w:t>Compromisos vs Pagos</w:t>
      </w:r>
    </w:p>
    <w:p w14:paraId="0FB19E62" w14:textId="77777777" w:rsidR="009C7994" w:rsidRPr="009C7994" w:rsidRDefault="009C7994" w:rsidP="009C7994">
      <w:pPr>
        <w:tabs>
          <w:tab w:val="left" w:pos="910"/>
        </w:tabs>
        <w:spacing w:after="0"/>
        <w:jc w:val="both"/>
        <w:rPr>
          <w:rFonts w:ascii="Arial" w:eastAsia="Calibri" w:hAnsi="Arial" w:cs="Arial"/>
          <w:sz w:val="20"/>
          <w:szCs w:val="20"/>
          <w:lang w:val="es-CO" w:eastAsia="es-CO"/>
        </w:rPr>
      </w:pPr>
    </w:p>
    <w:p w14:paraId="2C15CA94" w14:textId="77777777" w:rsidR="009C7994" w:rsidRPr="009C7994" w:rsidRDefault="009C7994" w:rsidP="009C7994">
      <w:pPr>
        <w:tabs>
          <w:tab w:val="left" w:pos="910"/>
        </w:tabs>
        <w:spacing w:after="0"/>
        <w:jc w:val="both"/>
        <w:rPr>
          <w:rFonts w:ascii="Arial" w:eastAsia="Calibri" w:hAnsi="Arial" w:cs="Arial"/>
          <w:sz w:val="20"/>
          <w:szCs w:val="20"/>
          <w:lang w:val="es-CO" w:eastAsia="es-CO"/>
        </w:rPr>
      </w:pPr>
      <w:r w:rsidRPr="009C7994">
        <w:rPr>
          <w:rFonts w:ascii="Arial" w:eastAsia="Calibri" w:hAnsi="Arial" w:cs="Arial"/>
          <w:sz w:val="20"/>
          <w:szCs w:val="20"/>
          <w:lang w:val="es-CO" w:eastAsia="es-CO"/>
        </w:rPr>
        <w:t xml:space="preserve">En lo que respecta a la información relacionada con la verificación y análisis de </w:t>
      </w:r>
      <w:r w:rsidRPr="006921AA">
        <w:rPr>
          <w:rFonts w:ascii="Arial" w:eastAsia="Calibri" w:hAnsi="Arial" w:cs="Arial"/>
          <w:sz w:val="20"/>
          <w:szCs w:val="20"/>
          <w:lang w:val="es-CO" w:eastAsia="es-CO"/>
        </w:rPr>
        <w:t>los compromisos vs pagos, finalizado el primer semestre de 2018, se observa un avance del 94,03% frente a los compromisos establecidos, se anexa el cuadro siguiente como evidencia de lo descrito</w:t>
      </w:r>
      <w:r w:rsidRPr="009C7994">
        <w:rPr>
          <w:rFonts w:ascii="Arial" w:eastAsia="Calibri" w:hAnsi="Arial" w:cs="Arial"/>
          <w:sz w:val="20"/>
          <w:szCs w:val="20"/>
          <w:lang w:val="es-CO" w:eastAsia="es-CO"/>
        </w:rPr>
        <w:t>:</w:t>
      </w:r>
    </w:p>
    <w:p w14:paraId="5B09535A" w14:textId="77777777" w:rsidR="009C7994" w:rsidRPr="009C7994" w:rsidRDefault="009C7994" w:rsidP="009C7994">
      <w:pPr>
        <w:tabs>
          <w:tab w:val="left" w:pos="910"/>
        </w:tabs>
        <w:spacing w:after="0"/>
        <w:jc w:val="both"/>
        <w:rPr>
          <w:rFonts w:ascii="Arial" w:eastAsia="Calibri" w:hAnsi="Arial" w:cs="Arial"/>
          <w:sz w:val="20"/>
          <w:szCs w:val="20"/>
          <w:lang w:val="es-CO" w:eastAsia="es-CO"/>
        </w:rPr>
      </w:pPr>
    </w:p>
    <w:p w14:paraId="0FCF7765" w14:textId="77777777" w:rsidR="009C7994" w:rsidRPr="009C7994" w:rsidRDefault="00205D72" w:rsidP="009C7994">
      <w:pPr>
        <w:tabs>
          <w:tab w:val="left" w:pos="910"/>
        </w:tabs>
        <w:spacing w:after="0"/>
        <w:jc w:val="center"/>
        <w:rPr>
          <w:rFonts w:ascii="Arial" w:eastAsia="Calibri" w:hAnsi="Arial" w:cs="Arial"/>
          <w:sz w:val="20"/>
          <w:szCs w:val="20"/>
          <w:lang w:val="es-CO" w:eastAsia="es-CO"/>
        </w:rPr>
      </w:pPr>
      <w:r w:rsidRPr="00205D72">
        <w:rPr>
          <w:noProof/>
          <w:lang w:eastAsia="es-ES"/>
        </w:rPr>
        <w:drawing>
          <wp:inline distT="0" distB="0" distL="0" distR="0" wp14:anchorId="1A178ACD" wp14:editId="3280159F">
            <wp:extent cx="5715000" cy="2352675"/>
            <wp:effectExtent l="19050" t="19050" r="19050" b="28575"/>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51812" cy="2367829"/>
                    </a:xfrm>
                    <a:prstGeom prst="rect">
                      <a:avLst/>
                    </a:prstGeom>
                    <a:noFill/>
                    <a:ln w="12700">
                      <a:solidFill>
                        <a:schemeClr val="accent1"/>
                      </a:solidFill>
                    </a:ln>
                  </pic:spPr>
                </pic:pic>
              </a:graphicData>
            </a:graphic>
          </wp:inline>
        </w:drawing>
      </w:r>
    </w:p>
    <w:p w14:paraId="25240D0C" w14:textId="742BCBB9" w:rsidR="004D028B" w:rsidRPr="004D028B" w:rsidRDefault="004D028B" w:rsidP="004D028B">
      <w:pPr>
        <w:tabs>
          <w:tab w:val="left" w:pos="910"/>
        </w:tabs>
        <w:spacing w:after="0" w:line="259" w:lineRule="auto"/>
        <w:rPr>
          <w:rFonts w:ascii="Arial" w:eastAsia="Times New Roman" w:hAnsi="Arial" w:cs="Arial"/>
          <w:sz w:val="10"/>
          <w:szCs w:val="20"/>
          <w:lang w:eastAsia="es-ES"/>
        </w:rPr>
      </w:pPr>
      <w:r>
        <w:rPr>
          <w:rFonts w:ascii="Arial" w:eastAsia="Times New Roman" w:hAnsi="Arial" w:cs="Arial"/>
          <w:sz w:val="10"/>
          <w:szCs w:val="20"/>
          <w:lang w:eastAsia="es-ES"/>
        </w:rPr>
        <w:t xml:space="preserve">                        </w:t>
      </w:r>
      <w:r w:rsidR="00193CE1">
        <w:rPr>
          <w:rFonts w:ascii="Arial" w:eastAsia="Times New Roman" w:hAnsi="Arial" w:cs="Arial"/>
          <w:sz w:val="10"/>
          <w:szCs w:val="20"/>
          <w:lang w:eastAsia="es-ES"/>
        </w:rPr>
        <w:t xml:space="preserve">       </w:t>
      </w:r>
      <w:r>
        <w:rPr>
          <w:rFonts w:ascii="Arial" w:eastAsia="Times New Roman" w:hAnsi="Arial" w:cs="Arial"/>
          <w:sz w:val="10"/>
          <w:szCs w:val="20"/>
          <w:lang w:eastAsia="es-ES"/>
        </w:rPr>
        <w:t xml:space="preserve"> </w:t>
      </w:r>
      <w:r w:rsidR="00205D72">
        <w:rPr>
          <w:rFonts w:ascii="Arial" w:eastAsia="Times New Roman" w:hAnsi="Arial" w:cs="Arial"/>
          <w:sz w:val="10"/>
          <w:szCs w:val="20"/>
          <w:lang w:eastAsia="es-ES"/>
        </w:rPr>
        <w:t xml:space="preserve">               </w:t>
      </w:r>
      <w:r w:rsidR="00950402">
        <w:rPr>
          <w:rFonts w:ascii="Arial" w:eastAsia="Times New Roman" w:hAnsi="Arial" w:cs="Arial"/>
          <w:sz w:val="10"/>
          <w:szCs w:val="20"/>
          <w:lang w:eastAsia="es-ES"/>
        </w:rPr>
        <w:t xml:space="preserve">   </w:t>
      </w:r>
      <w:r w:rsidRPr="004D028B">
        <w:rPr>
          <w:rFonts w:ascii="Arial" w:eastAsia="Times New Roman" w:hAnsi="Arial" w:cs="Arial"/>
          <w:sz w:val="10"/>
          <w:szCs w:val="20"/>
          <w:lang w:eastAsia="es-ES"/>
        </w:rPr>
        <w:t xml:space="preserve">Fuente: Matriz Ejecución Presupuestal </w:t>
      </w:r>
      <w:proofErr w:type="gramStart"/>
      <w:r>
        <w:rPr>
          <w:rFonts w:ascii="Arial" w:eastAsia="Times New Roman" w:hAnsi="Arial" w:cs="Arial"/>
          <w:sz w:val="10"/>
          <w:szCs w:val="20"/>
          <w:lang w:eastAsia="es-ES"/>
        </w:rPr>
        <w:t>Junio</w:t>
      </w:r>
      <w:proofErr w:type="gramEnd"/>
      <w:r>
        <w:rPr>
          <w:rFonts w:ascii="Arial" w:eastAsia="Times New Roman" w:hAnsi="Arial" w:cs="Arial"/>
          <w:sz w:val="10"/>
          <w:szCs w:val="20"/>
          <w:lang w:eastAsia="es-ES"/>
        </w:rPr>
        <w:t xml:space="preserve"> 2018 </w:t>
      </w:r>
      <w:r w:rsidRPr="004D028B">
        <w:rPr>
          <w:rFonts w:ascii="Arial" w:eastAsia="Times New Roman" w:hAnsi="Arial" w:cs="Arial"/>
          <w:sz w:val="10"/>
          <w:szCs w:val="20"/>
          <w:lang w:eastAsia="es-ES"/>
        </w:rPr>
        <w:t xml:space="preserve">TOTORO </w:t>
      </w:r>
    </w:p>
    <w:p w14:paraId="3256EE70" w14:textId="5B141C47" w:rsidR="009C7994" w:rsidRDefault="009C7994" w:rsidP="009C7994">
      <w:pPr>
        <w:shd w:val="clear" w:color="auto" w:fill="FFFFFF"/>
        <w:tabs>
          <w:tab w:val="left" w:pos="0"/>
          <w:tab w:val="left" w:pos="1455"/>
        </w:tabs>
        <w:spacing w:after="0"/>
        <w:jc w:val="both"/>
        <w:rPr>
          <w:rFonts w:ascii="Arial" w:eastAsia="Cambria" w:hAnsi="Arial" w:cs="Arial"/>
          <w:noProof/>
          <w:sz w:val="20"/>
          <w:szCs w:val="20"/>
          <w:lang w:eastAsia="es-ES"/>
        </w:rPr>
      </w:pPr>
      <w:r w:rsidRPr="009C7994">
        <w:rPr>
          <w:rFonts w:ascii="Arial" w:eastAsia="Cambria" w:hAnsi="Arial" w:cs="Arial"/>
          <w:noProof/>
          <w:sz w:val="20"/>
          <w:szCs w:val="20"/>
          <w:lang w:val="es-CO" w:eastAsia="es-ES"/>
        </w:rPr>
        <w:t xml:space="preserve">Adicional a lo anterior, </w:t>
      </w:r>
      <w:r w:rsidRPr="009C7994">
        <w:rPr>
          <w:rFonts w:ascii="Arial" w:eastAsia="Cambria" w:hAnsi="Arial" w:cs="Arial"/>
          <w:noProof/>
          <w:sz w:val="20"/>
          <w:szCs w:val="20"/>
          <w:lang w:eastAsia="es-ES"/>
        </w:rPr>
        <w:t>existe un rezago entre lo obligado y pagado por $15.036.139,28, como se registra en el siguiente cuadro:</w:t>
      </w:r>
    </w:p>
    <w:p w14:paraId="2D8DB2ED" w14:textId="77777777" w:rsidR="00127FE1" w:rsidRPr="009C7994" w:rsidRDefault="00127FE1" w:rsidP="009C7994">
      <w:pPr>
        <w:shd w:val="clear" w:color="auto" w:fill="FFFFFF"/>
        <w:tabs>
          <w:tab w:val="left" w:pos="0"/>
          <w:tab w:val="left" w:pos="1455"/>
        </w:tabs>
        <w:spacing w:after="0"/>
        <w:jc w:val="both"/>
        <w:rPr>
          <w:rFonts w:ascii="Arial" w:eastAsia="Cambria" w:hAnsi="Arial" w:cs="Arial"/>
          <w:noProof/>
          <w:sz w:val="20"/>
          <w:szCs w:val="20"/>
          <w:lang w:eastAsia="es-ES"/>
        </w:rPr>
      </w:pPr>
    </w:p>
    <w:p w14:paraId="2129E1BE" w14:textId="77777777" w:rsidR="009C7994" w:rsidRPr="009C7994" w:rsidRDefault="00205D72" w:rsidP="009C7994">
      <w:pPr>
        <w:shd w:val="clear" w:color="auto" w:fill="FFFFFF"/>
        <w:tabs>
          <w:tab w:val="left" w:pos="0"/>
          <w:tab w:val="left" w:pos="1455"/>
        </w:tabs>
        <w:spacing w:after="0"/>
        <w:jc w:val="center"/>
        <w:rPr>
          <w:rFonts w:ascii="Arial" w:eastAsia="Cambria" w:hAnsi="Arial" w:cs="Arial"/>
          <w:noProof/>
          <w:sz w:val="20"/>
          <w:szCs w:val="20"/>
          <w:lang w:eastAsia="es-ES"/>
        </w:rPr>
      </w:pPr>
      <w:r w:rsidRPr="00205D72">
        <w:rPr>
          <w:noProof/>
          <w:lang w:eastAsia="es-ES"/>
        </w:rPr>
        <w:drawing>
          <wp:inline distT="0" distB="0" distL="0" distR="0" wp14:anchorId="4098050B" wp14:editId="40E98EB2">
            <wp:extent cx="5514975" cy="2219325"/>
            <wp:effectExtent l="0" t="0" r="9525" b="9525"/>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70552" cy="2241690"/>
                    </a:xfrm>
                    <a:prstGeom prst="rect">
                      <a:avLst/>
                    </a:prstGeom>
                    <a:noFill/>
                    <a:ln>
                      <a:noFill/>
                    </a:ln>
                  </pic:spPr>
                </pic:pic>
              </a:graphicData>
            </a:graphic>
          </wp:inline>
        </w:drawing>
      </w:r>
    </w:p>
    <w:p w14:paraId="5EC5FD5B" w14:textId="77777777" w:rsidR="004D028B" w:rsidRPr="004D028B" w:rsidRDefault="004D028B" w:rsidP="004D028B">
      <w:pPr>
        <w:tabs>
          <w:tab w:val="left" w:pos="910"/>
        </w:tabs>
        <w:spacing w:after="0" w:line="259" w:lineRule="auto"/>
        <w:rPr>
          <w:rFonts w:ascii="Arial" w:eastAsia="Times New Roman" w:hAnsi="Arial" w:cs="Arial"/>
          <w:sz w:val="10"/>
          <w:szCs w:val="20"/>
          <w:lang w:eastAsia="es-ES"/>
        </w:rPr>
      </w:pPr>
      <w:r>
        <w:rPr>
          <w:rFonts w:ascii="Arial" w:eastAsia="Times New Roman" w:hAnsi="Arial" w:cs="Arial"/>
          <w:sz w:val="10"/>
          <w:szCs w:val="20"/>
          <w:lang w:eastAsia="es-ES"/>
        </w:rPr>
        <w:t xml:space="preserve">                            </w:t>
      </w:r>
      <w:r w:rsidR="00205D72">
        <w:rPr>
          <w:rFonts w:ascii="Arial" w:eastAsia="Times New Roman" w:hAnsi="Arial" w:cs="Arial"/>
          <w:sz w:val="10"/>
          <w:szCs w:val="20"/>
          <w:lang w:eastAsia="es-ES"/>
        </w:rPr>
        <w:t xml:space="preserve">                         </w:t>
      </w:r>
      <w:r w:rsidRPr="004D028B">
        <w:rPr>
          <w:rFonts w:ascii="Arial" w:eastAsia="Times New Roman" w:hAnsi="Arial" w:cs="Arial"/>
          <w:sz w:val="10"/>
          <w:szCs w:val="20"/>
          <w:lang w:eastAsia="es-ES"/>
        </w:rPr>
        <w:t xml:space="preserve">Fuente: Matriz Ejecución Presupuestal </w:t>
      </w:r>
      <w:proofErr w:type="gramStart"/>
      <w:r>
        <w:rPr>
          <w:rFonts w:ascii="Arial" w:eastAsia="Times New Roman" w:hAnsi="Arial" w:cs="Arial"/>
          <w:sz w:val="10"/>
          <w:szCs w:val="20"/>
          <w:lang w:eastAsia="es-ES"/>
        </w:rPr>
        <w:t>Junio</w:t>
      </w:r>
      <w:proofErr w:type="gramEnd"/>
      <w:r>
        <w:rPr>
          <w:rFonts w:ascii="Arial" w:eastAsia="Times New Roman" w:hAnsi="Arial" w:cs="Arial"/>
          <w:sz w:val="10"/>
          <w:szCs w:val="20"/>
          <w:lang w:eastAsia="es-ES"/>
        </w:rPr>
        <w:t xml:space="preserve"> 2018 </w:t>
      </w:r>
      <w:r w:rsidRPr="004D028B">
        <w:rPr>
          <w:rFonts w:ascii="Arial" w:eastAsia="Times New Roman" w:hAnsi="Arial" w:cs="Arial"/>
          <w:sz w:val="10"/>
          <w:szCs w:val="20"/>
          <w:lang w:eastAsia="es-ES"/>
        </w:rPr>
        <w:t xml:space="preserve">TOTORO </w:t>
      </w:r>
    </w:p>
    <w:p w14:paraId="589E3D53" w14:textId="77777777" w:rsidR="00457C59" w:rsidRDefault="004D028B" w:rsidP="00457C59">
      <w:pPr>
        <w:tabs>
          <w:tab w:val="left" w:pos="910"/>
        </w:tabs>
        <w:spacing w:after="0" w:line="259" w:lineRule="auto"/>
        <w:rPr>
          <w:rFonts w:ascii="Arial" w:eastAsia="Times New Roman" w:hAnsi="Arial" w:cs="Arial"/>
          <w:sz w:val="10"/>
          <w:szCs w:val="20"/>
          <w:lang w:eastAsia="es-ES"/>
        </w:rPr>
      </w:pPr>
      <w:r>
        <w:rPr>
          <w:rFonts w:ascii="Arial" w:eastAsia="Times New Roman" w:hAnsi="Arial" w:cs="Arial"/>
          <w:sz w:val="10"/>
          <w:szCs w:val="20"/>
          <w:lang w:eastAsia="es-ES"/>
        </w:rPr>
        <w:t xml:space="preserve">                            </w:t>
      </w:r>
      <w:r w:rsidR="00CB7B63">
        <w:rPr>
          <w:rFonts w:ascii="Arial" w:eastAsia="Times New Roman" w:hAnsi="Arial" w:cs="Arial"/>
          <w:sz w:val="10"/>
          <w:szCs w:val="20"/>
          <w:lang w:eastAsia="es-ES"/>
        </w:rPr>
        <w:t xml:space="preserve">                       </w:t>
      </w:r>
    </w:p>
    <w:p w14:paraId="2CF5D0FC" w14:textId="13E87A08" w:rsidR="009C7994" w:rsidRPr="00457C59" w:rsidRDefault="002D502D" w:rsidP="00E05EDB">
      <w:pPr>
        <w:tabs>
          <w:tab w:val="left" w:pos="910"/>
        </w:tabs>
        <w:spacing w:after="0" w:line="259" w:lineRule="auto"/>
        <w:jc w:val="both"/>
        <w:rPr>
          <w:rFonts w:ascii="Arial" w:eastAsia="Times New Roman" w:hAnsi="Arial" w:cs="Arial"/>
          <w:sz w:val="10"/>
          <w:szCs w:val="20"/>
          <w:lang w:eastAsia="es-ES"/>
        </w:rPr>
      </w:pPr>
      <w:r>
        <w:rPr>
          <w:rFonts w:ascii="Arial" w:eastAsia="Calibri" w:hAnsi="Arial" w:cs="Arial"/>
          <w:sz w:val="20"/>
          <w:szCs w:val="20"/>
          <w:lang w:val="es-CO" w:eastAsia="es-CO"/>
        </w:rPr>
        <w:t>Teniendo en cue</w:t>
      </w:r>
      <w:r w:rsidR="009C7994" w:rsidRPr="009C7994">
        <w:rPr>
          <w:rFonts w:ascii="Arial" w:eastAsia="Calibri" w:hAnsi="Arial" w:cs="Arial"/>
          <w:sz w:val="20"/>
          <w:szCs w:val="20"/>
          <w:lang w:val="es-CO" w:eastAsia="es-CO"/>
        </w:rPr>
        <w:t>nt</w:t>
      </w:r>
      <w:r>
        <w:rPr>
          <w:rFonts w:ascii="Arial" w:eastAsia="Calibri" w:hAnsi="Arial" w:cs="Arial"/>
          <w:sz w:val="20"/>
          <w:szCs w:val="20"/>
          <w:lang w:val="es-CO" w:eastAsia="es-CO"/>
        </w:rPr>
        <w:t xml:space="preserve">a esta información, </w:t>
      </w:r>
      <w:r w:rsidR="009C7994" w:rsidRPr="009C7994">
        <w:rPr>
          <w:rFonts w:ascii="Arial" w:eastAsia="Calibri" w:hAnsi="Arial" w:cs="Arial"/>
          <w:sz w:val="20"/>
          <w:szCs w:val="20"/>
          <w:lang w:val="es-CO" w:eastAsia="es-CO"/>
        </w:rPr>
        <w:t xml:space="preserve">se evidencia que en tres (3) rubros existen diferencias entre lo obligado y pagado, por lo cual se recomienda que las áreas correspondientes realicen las acciones pertinentes. </w:t>
      </w:r>
    </w:p>
    <w:p w14:paraId="6D5F20B8" w14:textId="77777777" w:rsidR="009C7994" w:rsidRPr="009C7994" w:rsidRDefault="009C7994" w:rsidP="009C7994">
      <w:pPr>
        <w:tabs>
          <w:tab w:val="left" w:pos="910"/>
        </w:tabs>
        <w:spacing w:after="0"/>
        <w:jc w:val="both"/>
        <w:rPr>
          <w:rFonts w:ascii="Arial" w:eastAsia="MS Mincho" w:hAnsi="Arial" w:cs="Arial"/>
          <w:b/>
          <w:sz w:val="20"/>
          <w:szCs w:val="20"/>
          <w:lang w:eastAsia="es-ES"/>
        </w:rPr>
      </w:pPr>
    </w:p>
    <w:p w14:paraId="7577367D" w14:textId="77777777" w:rsidR="009C7994" w:rsidRPr="009C7994" w:rsidRDefault="009C7994" w:rsidP="009C7994">
      <w:pPr>
        <w:tabs>
          <w:tab w:val="left" w:pos="910"/>
        </w:tabs>
        <w:spacing w:after="0"/>
        <w:jc w:val="both"/>
        <w:rPr>
          <w:rFonts w:ascii="Arial" w:eastAsia="Times New Roman" w:hAnsi="Arial" w:cs="Arial"/>
          <w:sz w:val="20"/>
          <w:szCs w:val="20"/>
          <w:lang w:eastAsia="es-ES"/>
        </w:rPr>
      </w:pPr>
      <w:r w:rsidRPr="009C7994">
        <w:rPr>
          <w:rFonts w:ascii="Arial" w:eastAsia="MS Mincho" w:hAnsi="Arial" w:cs="Arial"/>
          <w:b/>
          <w:sz w:val="20"/>
          <w:szCs w:val="20"/>
          <w:lang w:eastAsia="es-ES"/>
        </w:rPr>
        <w:t>Reservas Presupuestales</w:t>
      </w:r>
    </w:p>
    <w:p w14:paraId="79725F27" w14:textId="77777777" w:rsidR="009C7994" w:rsidRPr="009C7994" w:rsidRDefault="009C7994" w:rsidP="009C7994">
      <w:pPr>
        <w:tabs>
          <w:tab w:val="left" w:pos="910"/>
        </w:tabs>
        <w:spacing w:after="0"/>
        <w:jc w:val="both"/>
        <w:rPr>
          <w:rFonts w:ascii="Arial" w:eastAsia="Times New Roman" w:hAnsi="Arial" w:cs="Arial"/>
          <w:sz w:val="20"/>
          <w:szCs w:val="20"/>
          <w:lang w:eastAsia="es-ES"/>
        </w:rPr>
      </w:pPr>
    </w:p>
    <w:p w14:paraId="33B96437" w14:textId="77777777" w:rsidR="009C7994" w:rsidRPr="009C7994" w:rsidRDefault="009C7994" w:rsidP="009C7994">
      <w:pPr>
        <w:tabs>
          <w:tab w:val="left" w:pos="910"/>
        </w:tabs>
        <w:spacing w:after="0"/>
        <w:jc w:val="both"/>
        <w:rPr>
          <w:rFonts w:ascii="Arial" w:eastAsia="Times New Roman" w:hAnsi="Arial" w:cs="Arial"/>
          <w:sz w:val="20"/>
          <w:szCs w:val="20"/>
          <w:lang w:eastAsia="es-ES"/>
        </w:rPr>
      </w:pPr>
      <w:r w:rsidRPr="009C7994">
        <w:rPr>
          <w:rFonts w:ascii="Arial" w:eastAsia="Times New Roman" w:hAnsi="Arial" w:cs="Arial"/>
          <w:sz w:val="20"/>
          <w:szCs w:val="20"/>
          <w:lang w:eastAsia="es-ES"/>
        </w:rPr>
        <w:t xml:space="preserve">En lo que concierne a </w:t>
      </w:r>
      <w:r w:rsidR="002D502D">
        <w:rPr>
          <w:rFonts w:ascii="Arial" w:eastAsia="Times New Roman" w:hAnsi="Arial" w:cs="Arial"/>
          <w:sz w:val="20"/>
          <w:szCs w:val="20"/>
          <w:lang w:eastAsia="es-ES"/>
        </w:rPr>
        <w:t xml:space="preserve">las </w:t>
      </w:r>
      <w:r w:rsidRPr="009C7994">
        <w:rPr>
          <w:rFonts w:ascii="Arial" w:eastAsia="Times New Roman" w:hAnsi="Arial" w:cs="Arial"/>
          <w:sz w:val="20"/>
          <w:szCs w:val="20"/>
          <w:lang w:eastAsia="es-ES"/>
        </w:rPr>
        <w:t>reserva</w:t>
      </w:r>
      <w:r w:rsidR="002D502D">
        <w:rPr>
          <w:rFonts w:ascii="Arial" w:eastAsia="Times New Roman" w:hAnsi="Arial" w:cs="Arial"/>
          <w:sz w:val="20"/>
          <w:szCs w:val="20"/>
          <w:lang w:eastAsia="es-ES"/>
        </w:rPr>
        <w:t>s</w:t>
      </w:r>
      <w:r w:rsidRPr="009C7994">
        <w:rPr>
          <w:rFonts w:ascii="Arial" w:eastAsia="Times New Roman" w:hAnsi="Arial" w:cs="Arial"/>
          <w:sz w:val="20"/>
          <w:szCs w:val="20"/>
          <w:lang w:eastAsia="es-ES"/>
        </w:rPr>
        <w:t xml:space="preserve"> presupuestal</w:t>
      </w:r>
      <w:r w:rsidR="002D502D">
        <w:rPr>
          <w:rFonts w:ascii="Arial" w:eastAsia="Times New Roman" w:hAnsi="Arial" w:cs="Arial"/>
          <w:sz w:val="20"/>
          <w:szCs w:val="20"/>
          <w:lang w:eastAsia="es-ES"/>
        </w:rPr>
        <w:t>es</w:t>
      </w:r>
      <w:r w:rsidRPr="009C7994">
        <w:rPr>
          <w:rFonts w:ascii="Arial" w:eastAsia="Times New Roman" w:hAnsi="Arial" w:cs="Arial"/>
          <w:sz w:val="20"/>
          <w:szCs w:val="20"/>
          <w:lang w:eastAsia="es-ES"/>
        </w:rPr>
        <w:t xml:space="preserve"> en el rubro de funcionamiento, finalizado el primer semestre de 2018, se han obligado $663.444.691,26 y pagado $663.301.177,26 respecto a los compromisos ($1.031.206.332,26), equivalentes al 64,34% y 64,32% respectivamente, información que se evidencia en el siguiente cuadro, así:</w:t>
      </w:r>
    </w:p>
    <w:p w14:paraId="6A464DFF" w14:textId="77777777" w:rsidR="009C7994" w:rsidRPr="009C7994" w:rsidRDefault="009C7994" w:rsidP="009C7994">
      <w:pPr>
        <w:tabs>
          <w:tab w:val="left" w:pos="910"/>
        </w:tabs>
        <w:spacing w:after="0"/>
        <w:jc w:val="both"/>
        <w:rPr>
          <w:rFonts w:ascii="Arial" w:eastAsia="Times New Roman" w:hAnsi="Arial" w:cs="Arial"/>
          <w:sz w:val="20"/>
          <w:szCs w:val="20"/>
          <w:lang w:eastAsia="es-ES"/>
        </w:rPr>
      </w:pPr>
    </w:p>
    <w:p w14:paraId="262B1C6F" w14:textId="77777777" w:rsidR="009C7994" w:rsidRPr="009C7994" w:rsidRDefault="00205D72" w:rsidP="009C7994">
      <w:pPr>
        <w:tabs>
          <w:tab w:val="left" w:pos="910"/>
        </w:tabs>
        <w:spacing w:after="0"/>
        <w:jc w:val="center"/>
        <w:rPr>
          <w:rFonts w:ascii="Arial" w:eastAsia="Times New Roman" w:hAnsi="Arial" w:cs="Arial"/>
          <w:sz w:val="20"/>
          <w:szCs w:val="20"/>
          <w:lang w:eastAsia="es-ES"/>
        </w:rPr>
      </w:pPr>
      <w:r w:rsidRPr="00205D72">
        <w:rPr>
          <w:noProof/>
          <w:lang w:eastAsia="es-ES"/>
        </w:rPr>
        <w:lastRenderedPageBreak/>
        <w:drawing>
          <wp:inline distT="0" distB="0" distL="0" distR="0" wp14:anchorId="430D6249" wp14:editId="6A371BDA">
            <wp:extent cx="5577205" cy="1181100"/>
            <wp:effectExtent l="0" t="0" r="4445" b="0"/>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82667" cy="1224611"/>
                    </a:xfrm>
                    <a:prstGeom prst="rect">
                      <a:avLst/>
                    </a:prstGeom>
                    <a:noFill/>
                    <a:ln>
                      <a:noFill/>
                    </a:ln>
                  </pic:spPr>
                </pic:pic>
              </a:graphicData>
            </a:graphic>
          </wp:inline>
        </w:drawing>
      </w:r>
    </w:p>
    <w:p w14:paraId="5EEE9E45" w14:textId="0628ED7F" w:rsidR="004D028B" w:rsidRPr="004D028B" w:rsidRDefault="004D028B" w:rsidP="004D028B">
      <w:pPr>
        <w:tabs>
          <w:tab w:val="left" w:pos="910"/>
        </w:tabs>
        <w:spacing w:after="0" w:line="259" w:lineRule="auto"/>
        <w:rPr>
          <w:rFonts w:ascii="Arial" w:eastAsia="Times New Roman" w:hAnsi="Arial" w:cs="Arial"/>
          <w:sz w:val="10"/>
          <w:szCs w:val="20"/>
          <w:lang w:eastAsia="es-ES"/>
        </w:rPr>
      </w:pPr>
      <w:r>
        <w:rPr>
          <w:rFonts w:ascii="Arial" w:eastAsia="Times New Roman" w:hAnsi="Arial" w:cs="Arial"/>
          <w:sz w:val="10"/>
          <w:szCs w:val="20"/>
          <w:lang w:eastAsia="es-ES"/>
        </w:rPr>
        <w:t xml:space="preserve">            </w:t>
      </w:r>
      <w:r w:rsidR="00205D72">
        <w:rPr>
          <w:rFonts w:ascii="Arial" w:eastAsia="Times New Roman" w:hAnsi="Arial" w:cs="Arial"/>
          <w:sz w:val="10"/>
          <w:szCs w:val="20"/>
          <w:lang w:eastAsia="es-ES"/>
        </w:rPr>
        <w:t xml:space="preserve"> </w:t>
      </w:r>
      <w:r w:rsidR="00A9214C">
        <w:rPr>
          <w:rFonts w:ascii="Arial" w:eastAsia="Times New Roman" w:hAnsi="Arial" w:cs="Arial"/>
          <w:sz w:val="10"/>
          <w:szCs w:val="20"/>
          <w:lang w:eastAsia="es-ES"/>
        </w:rPr>
        <w:t xml:space="preserve"> </w:t>
      </w:r>
      <w:r w:rsidR="00205D72">
        <w:rPr>
          <w:rFonts w:ascii="Arial" w:eastAsia="Times New Roman" w:hAnsi="Arial" w:cs="Arial"/>
          <w:sz w:val="10"/>
          <w:szCs w:val="20"/>
          <w:lang w:eastAsia="es-ES"/>
        </w:rPr>
        <w:t xml:space="preserve"> </w:t>
      </w:r>
      <w:r w:rsidRPr="004D028B">
        <w:rPr>
          <w:rFonts w:ascii="Arial" w:eastAsia="Times New Roman" w:hAnsi="Arial" w:cs="Arial"/>
          <w:sz w:val="10"/>
          <w:szCs w:val="20"/>
          <w:lang w:eastAsia="es-ES"/>
        </w:rPr>
        <w:t xml:space="preserve">Fuente: Matriz Ejecución Presupuestal </w:t>
      </w:r>
      <w:proofErr w:type="gramStart"/>
      <w:r>
        <w:rPr>
          <w:rFonts w:ascii="Arial" w:eastAsia="Times New Roman" w:hAnsi="Arial" w:cs="Arial"/>
          <w:sz w:val="10"/>
          <w:szCs w:val="20"/>
          <w:lang w:eastAsia="es-ES"/>
        </w:rPr>
        <w:t>Junio</w:t>
      </w:r>
      <w:proofErr w:type="gramEnd"/>
      <w:r>
        <w:rPr>
          <w:rFonts w:ascii="Arial" w:eastAsia="Times New Roman" w:hAnsi="Arial" w:cs="Arial"/>
          <w:sz w:val="10"/>
          <w:szCs w:val="20"/>
          <w:lang w:eastAsia="es-ES"/>
        </w:rPr>
        <w:t xml:space="preserve"> 2018 </w:t>
      </w:r>
      <w:r w:rsidRPr="004D028B">
        <w:rPr>
          <w:rFonts w:ascii="Arial" w:eastAsia="Times New Roman" w:hAnsi="Arial" w:cs="Arial"/>
          <w:sz w:val="10"/>
          <w:szCs w:val="20"/>
          <w:lang w:eastAsia="es-ES"/>
        </w:rPr>
        <w:t xml:space="preserve">TOTORO </w:t>
      </w:r>
    </w:p>
    <w:p w14:paraId="033AB601" w14:textId="5D2F82D5" w:rsidR="004D028B" w:rsidRPr="004D028B" w:rsidRDefault="004D028B" w:rsidP="004D028B">
      <w:pPr>
        <w:tabs>
          <w:tab w:val="left" w:pos="910"/>
        </w:tabs>
        <w:spacing w:after="0" w:line="259" w:lineRule="auto"/>
        <w:rPr>
          <w:rFonts w:ascii="Arial" w:eastAsia="Times New Roman" w:hAnsi="Arial" w:cs="Arial"/>
          <w:sz w:val="10"/>
          <w:szCs w:val="20"/>
          <w:lang w:eastAsia="es-ES"/>
        </w:rPr>
      </w:pPr>
      <w:r>
        <w:rPr>
          <w:rFonts w:ascii="Arial" w:eastAsia="Times New Roman" w:hAnsi="Arial" w:cs="Arial"/>
          <w:sz w:val="10"/>
          <w:szCs w:val="20"/>
          <w:lang w:eastAsia="es-ES"/>
        </w:rPr>
        <w:t xml:space="preserve">           </w:t>
      </w:r>
      <w:r w:rsidR="00205D72">
        <w:rPr>
          <w:rFonts w:ascii="Arial" w:eastAsia="Times New Roman" w:hAnsi="Arial" w:cs="Arial"/>
          <w:sz w:val="10"/>
          <w:szCs w:val="20"/>
          <w:lang w:eastAsia="es-ES"/>
        </w:rPr>
        <w:t xml:space="preserve">   </w:t>
      </w:r>
    </w:p>
    <w:p w14:paraId="037BF9A9" w14:textId="77777777" w:rsidR="009C7994" w:rsidRPr="009C7994" w:rsidRDefault="009C7994" w:rsidP="009C7994">
      <w:pPr>
        <w:shd w:val="clear" w:color="auto" w:fill="FFFFFF"/>
        <w:tabs>
          <w:tab w:val="left" w:pos="0"/>
          <w:tab w:val="left" w:pos="1455"/>
        </w:tabs>
        <w:spacing w:after="0"/>
        <w:jc w:val="both"/>
        <w:rPr>
          <w:rFonts w:ascii="Arial" w:eastAsia="Cambria" w:hAnsi="Arial" w:cs="Arial"/>
          <w:noProof/>
          <w:sz w:val="20"/>
          <w:szCs w:val="20"/>
          <w:lang w:eastAsia="es-ES"/>
        </w:rPr>
      </w:pPr>
      <w:r w:rsidRPr="009C7994">
        <w:rPr>
          <w:rFonts w:ascii="Arial" w:eastAsia="Cambria" w:hAnsi="Arial" w:cs="Arial"/>
          <w:noProof/>
          <w:sz w:val="20"/>
          <w:szCs w:val="20"/>
          <w:lang w:val="es-CO" w:eastAsia="es-ES"/>
        </w:rPr>
        <w:t xml:space="preserve">Adicional a lo anterior, </w:t>
      </w:r>
      <w:r w:rsidRPr="009C7994">
        <w:rPr>
          <w:rFonts w:ascii="Arial" w:eastAsia="Cambria" w:hAnsi="Arial" w:cs="Arial"/>
          <w:noProof/>
          <w:sz w:val="20"/>
          <w:szCs w:val="20"/>
          <w:lang w:eastAsia="es-ES"/>
        </w:rPr>
        <w:t xml:space="preserve">existe un rezago entre lo obligado y pagado por $143.514, el cual corresponde al </w:t>
      </w:r>
      <w:r w:rsidR="002D502D">
        <w:rPr>
          <w:rFonts w:ascii="Arial" w:eastAsia="Cambria" w:hAnsi="Arial" w:cs="Arial"/>
          <w:noProof/>
          <w:sz w:val="20"/>
          <w:szCs w:val="20"/>
          <w:lang w:eastAsia="es-ES"/>
        </w:rPr>
        <w:t xml:space="preserve">rubro A-3-6-3-12 del </w:t>
      </w:r>
      <w:r w:rsidRPr="009C7994">
        <w:rPr>
          <w:rFonts w:ascii="Arial" w:eastAsia="Cambria" w:hAnsi="Arial" w:cs="Arial"/>
          <w:noProof/>
          <w:sz w:val="20"/>
          <w:szCs w:val="20"/>
          <w:lang w:eastAsia="es-ES"/>
        </w:rPr>
        <w:t>Fondo Para La Reparacion De Las Victimas (Art.54 Ley 975 De 2005), como se registra en el siguiente cuadro:</w:t>
      </w:r>
    </w:p>
    <w:p w14:paraId="4625895B" w14:textId="77777777" w:rsidR="009C7994" w:rsidRPr="009C7994" w:rsidRDefault="009C7994" w:rsidP="009C7994">
      <w:pPr>
        <w:tabs>
          <w:tab w:val="left" w:pos="910"/>
        </w:tabs>
        <w:spacing w:after="0"/>
        <w:jc w:val="both"/>
        <w:rPr>
          <w:rFonts w:ascii="Arial" w:eastAsia="Times New Roman" w:hAnsi="Arial" w:cs="Arial"/>
          <w:sz w:val="20"/>
          <w:szCs w:val="20"/>
          <w:lang w:eastAsia="es-ES"/>
        </w:rPr>
      </w:pPr>
    </w:p>
    <w:p w14:paraId="29135468" w14:textId="77777777" w:rsidR="009C7994" w:rsidRPr="009C7994" w:rsidRDefault="00205D72" w:rsidP="009C7994">
      <w:pPr>
        <w:tabs>
          <w:tab w:val="left" w:pos="910"/>
        </w:tabs>
        <w:spacing w:after="0"/>
        <w:jc w:val="center"/>
        <w:rPr>
          <w:rFonts w:ascii="Arial" w:eastAsia="Times New Roman" w:hAnsi="Arial" w:cs="Arial"/>
          <w:sz w:val="20"/>
          <w:szCs w:val="20"/>
          <w:lang w:eastAsia="es-ES"/>
        </w:rPr>
      </w:pPr>
      <w:r w:rsidRPr="00205D72">
        <w:rPr>
          <w:noProof/>
          <w:lang w:eastAsia="es-ES"/>
        </w:rPr>
        <w:drawing>
          <wp:inline distT="0" distB="0" distL="0" distR="0" wp14:anchorId="218DF877" wp14:editId="581BF4C6">
            <wp:extent cx="5667375" cy="990600"/>
            <wp:effectExtent l="0" t="0" r="9525" b="0"/>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66648" cy="1007952"/>
                    </a:xfrm>
                    <a:prstGeom prst="rect">
                      <a:avLst/>
                    </a:prstGeom>
                    <a:noFill/>
                    <a:ln>
                      <a:noFill/>
                    </a:ln>
                  </pic:spPr>
                </pic:pic>
              </a:graphicData>
            </a:graphic>
          </wp:inline>
        </w:drawing>
      </w:r>
    </w:p>
    <w:p w14:paraId="6599E648" w14:textId="6B2BC327" w:rsidR="004D028B" w:rsidRPr="004D028B" w:rsidRDefault="004D028B" w:rsidP="004D028B">
      <w:pPr>
        <w:tabs>
          <w:tab w:val="left" w:pos="910"/>
        </w:tabs>
        <w:spacing w:after="0" w:line="259" w:lineRule="auto"/>
        <w:rPr>
          <w:rFonts w:ascii="Arial" w:eastAsia="Times New Roman" w:hAnsi="Arial" w:cs="Arial"/>
          <w:sz w:val="10"/>
          <w:szCs w:val="20"/>
          <w:lang w:eastAsia="es-ES"/>
        </w:rPr>
      </w:pPr>
      <w:r>
        <w:rPr>
          <w:rFonts w:ascii="Arial" w:eastAsia="Times New Roman" w:hAnsi="Arial" w:cs="Arial"/>
          <w:sz w:val="10"/>
          <w:szCs w:val="20"/>
          <w:lang w:eastAsia="es-ES"/>
        </w:rPr>
        <w:t xml:space="preserve">                           </w:t>
      </w:r>
      <w:r w:rsidR="00205D72">
        <w:rPr>
          <w:rFonts w:ascii="Arial" w:eastAsia="Times New Roman" w:hAnsi="Arial" w:cs="Arial"/>
          <w:sz w:val="10"/>
          <w:szCs w:val="20"/>
          <w:lang w:eastAsia="es-ES"/>
        </w:rPr>
        <w:t xml:space="preserve">               </w:t>
      </w:r>
      <w:r w:rsidR="00A9214C">
        <w:rPr>
          <w:rFonts w:ascii="Arial" w:eastAsia="Times New Roman" w:hAnsi="Arial" w:cs="Arial"/>
          <w:sz w:val="10"/>
          <w:szCs w:val="20"/>
          <w:lang w:eastAsia="es-ES"/>
        </w:rPr>
        <w:t xml:space="preserve"> </w:t>
      </w:r>
      <w:r w:rsidR="00205D72">
        <w:rPr>
          <w:rFonts w:ascii="Arial" w:eastAsia="Times New Roman" w:hAnsi="Arial" w:cs="Arial"/>
          <w:sz w:val="10"/>
          <w:szCs w:val="20"/>
          <w:lang w:eastAsia="es-ES"/>
        </w:rPr>
        <w:t xml:space="preserve"> </w:t>
      </w:r>
      <w:r w:rsidRPr="004D028B">
        <w:rPr>
          <w:rFonts w:ascii="Arial" w:eastAsia="Times New Roman" w:hAnsi="Arial" w:cs="Arial"/>
          <w:sz w:val="10"/>
          <w:szCs w:val="20"/>
          <w:lang w:eastAsia="es-ES"/>
        </w:rPr>
        <w:t xml:space="preserve">Fuente: Matriz Ejecución Presupuestal </w:t>
      </w:r>
      <w:proofErr w:type="gramStart"/>
      <w:r>
        <w:rPr>
          <w:rFonts w:ascii="Arial" w:eastAsia="Times New Roman" w:hAnsi="Arial" w:cs="Arial"/>
          <w:sz w:val="10"/>
          <w:szCs w:val="20"/>
          <w:lang w:eastAsia="es-ES"/>
        </w:rPr>
        <w:t>Junio</w:t>
      </w:r>
      <w:proofErr w:type="gramEnd"/>
      <w:r>
        <w:rPr>
          <w:rFonts w:ascii="Arial" w:eastAsia="Times New Roman" w:hAnsi="Arial" w:cs="Arial"/>
          <w:sz w:val="10"/>
          <w:szCs w:val="20"/>
          <w:lang w:eastAsia="es-ES"/>
        </w:rPr>
        <w:t xml:space="preserve"> 2018 </w:t>
      </w:r>
      <w:r w:rsidRPr="004D028B">
        <w:rPr>
          <w:rFonts w:ascii="Arial" w:eastAsia="Times New Roman" w:hAnsi="Arial" w:cs="Arial"/>
          <w:sz w:val="10"/>
          <w:szCs w:val="20"/>
          <w:lang w:eastAsia="es-ES"/>
        </w:rPr>
        <w:t xml:space="preserve">TOTORO </w:t>
      </w:r>
    </w:p>
    <w:p w14:paraId="6A44BE30" w14:textId="77777777" w:rsidR="00127FE1" w:rsidRDefault="00127FE1" w:rsidP="009C7994">
      <w:pPr>
        <w:tabs>
          <w:tab w:val="left" w:pos="910"/>
        </w:tabs>
        <w:spacing w:after="0"/>
        <w:jc w:val="both"/>
        <w:rPr>
          <w:rFonts w:ascii="Arial" w:eastAsia="MS Mincho" w:hAnsi="Arial" w:cs="Arial"/>
          <w:b/>
          <w:sz w:val="20"/>
          <w:szCs w:val="20"/>
          <w:lang w:eastAsia="es-ES"/>
        </w:rPr>
      </w:pPr>
    </w:p>
    <w:p w14:paraId="0D80719E" w14:textId="41D02C6A" w:rsidR="009C7994" w:rsidRPr="009C7994" w:rsidRDefault="009C7994" w:rsidP="009C7994">
      <w:pPr>
        <w:tabs>
          <w:tab w:val="left" w:pos="910"/>
        </w:tabs>
        <w:spacing w:after="0"/>
        <w:jc w:val="both"/>
        <w:rPr>
          <w:rFonts w:ascii="Arial" w:eastAsia="MS Mincho" w:hAnsi="Arial" w:cs="Arial"/>
          <w:b/>
          <w:sz w:val="20"/>
          <w:szCs w:val="20"/>
          <w:lang w:eastAsia="es-ES"/>
        </w:rPr>
      </w:pPr>
      <w:r w:rsidRPr="009C7994">
        <w:rPr>
          <w:rFonts w:ascii="Arial" w:eastAsia="MS Mincho" w:hAnsi="Arial" w:cs="Arial"/>
          <w:b/>
          <w:sz w:val="20"/>
          <w:szCs w:val="20"/>
          <w:lang w:eastAsia="es-ES"/>
        </w:rPr>
        <w:t>Cuentas por Pagar</w:t>
      </w:r>
    </w:p>
    <w:p w14:paraId="13936CFA" w14:textId="77777777" w:rsidR="009C7994" w:rsidRPr="009C7994" w:rsidRDefault="009C7994" w:rsidP="009C7994">
      <w:pPr>
        <w:tabs>
          <w:tab w:val="left" w:pos="910"/>
        </w:tabs>
        <w:spacing w:after="0"/>
        <w:jc w:val="both"/>
        <w:rPr>
          <w:rFonts w:ascii="Arial" w:eastAsia="MS Mincho" w:hAnsi="Arial" w:cs="Arial"/>
          <w:b/>
          <w:sz w:val="20"/>
          <w:szCs w:val="20"/>
          <w:lang w:eastAsia="es-ES"/>
        </w:rPr>
      </w:pPr>
    </w:p>
    <w:p w14:paraId="19C87D9A" w14:textId="77777777" w:rsidR="009C7994" w:rsidRPr="009C7994" w:rsidRDefault="009C7994" w:rsidP="009C7994">
      <w:pPr>
        <w:tabs>
          <w:tab w:val="left" w:pos="910"/>
        </w:tabs>
        <w:spacing w:after="0"/>
        <w:jc w:val="both"/>
        <w:rPr>
          <w:rFonts w:ascii="Arial" w:eastAsia="Times New Roman" w:hAnsi="Arial" w:cs="Arial"/>
          <w:sz w:val="20"/>
          <w:szCs w:val="20"/>
          <w:lang w:eastAsia="es-ES"/>
        </w:rPr>
      </w:pPr>
      <w:r w:rsidRPr="009C7994">
        <w:rPr>
          <w:rFonts w:ascii="Arial" w:eastAsia="Times New Roman" w:hAnsi="Arial" w:cs="Arial"/>
          <w:sz w:val="20"/>
          <w:szCs w:val="20"/>
          <w:lang w:eastAsia="es-ES"/>
        </w:rPr>
        <w:t xml:space="preserve">En lo referente a cuentas por pagar, a 30 de junio de 2018 se registran obligaciones por $14.998.381.418,85 de las cuales se han efectuado los respectivos pagos, información que se </w:t>
      </w:r>
      <w:r w:rsidR="00F23F1C">
        <w:rPr>
          <w:rFonts w:ascii="Arial" w:eastAsia="Times New Roman" w:hAnsi="Arial" w:cs="Arial"/>
          <w:sz w:val="20"/>
          <w:szCs w:val="20"/>
          <w:lang w:eastAsia="es-ES"/>
        </w:rPr>
        <w:t>confirma</w:t>
      </w:r>
      <w:r w:rsidRPr="009C7994">
        <w:rPr>
          <w:rFonts w:ascii="Arial" w:eastAsia="Times New Roman" w:hAnsi="Arial" w:cs="Arial"/>
          <w:sz w:val="20"/>
          <w:szCs w:val="20"/>
          <w:lang w:eastAsia="es-ES"/>
        </w:rPr>
        <w:t xml:space="preserve"> en el cuadro que se muestra a continuación:</w:t>
      </w:r>
    </w:p>
    <w:p w14:paraId="3B873B10" w14:textId="77777777" w:rsidR="009C7994" w:rsidRPr="009C7994" w:rsidRDefault="009C7994" w:rsidP="009C7994">
      <w:pPr>
        <w:tabs>
          <w:tab w:val="left" w:pos="910"/>
        </w:tabs>
        <w:spacing w:after="0"/>
        <w:jc w:val="both"/>
        <w:rPr>
          <w:rFonts w:ascii="Arial" w:eastAsia="Times New Roman" w:hAnsi="Arial" w:cs="Arial"/>
          <w:sz w:val="20"/>
          <w:szCs w:val="20"/>
          <w:lang w:eastAsia="es-ES"/>
        </w:rPr>
      </w:pPr>
    </w:p>
    <w:p w14:paraId="4DF19E8B" w14:textId="77777777" w:rsidR="009C7994" w:rsidRPr="009C7994" w:rsidRDefault="009C7994" w:rsidP="009C7994">
      <w:pPr>
        <w:tabs>
          <w:tab w:val="left" w:pos="910"/>
        </w:tabs>
        <w:spacing w:after="0"/>
        <w:jc w:val="center"/>
        <w:rPr>
          <w:rFonts w:ascii="Arial" w:eastAsia="Times New Roman" w:hAnsi="Arial" w:cs="Arial"/>
          <w:sz w:val="20"/>
          <w:szCs w:val="20"/>
          <w:lang w:eastAsia="es-ES"/>
        </w:rPr>
      </w:pPr>
      <w:r w:rsidRPr="009C7994">
        <w:rPr>
          <w:rFonts w:ascii="Calibri" w:eastAsia="Calibri" w:hAnsi="Calibri"/>
          <w:noProof/>
          <w:sz w:val="20"/>
          <w:szCs w:val="20"/>
          <w:lang w:eastAsia="es-ES"/>
        </w:rPr>
        <w:drawing>
          <wp:inline distT="0" distB="0" distL="0" distR="0" wp14:anchorId="2F18C4C1" wp14:editId="05990351">
            <wp:extent cx="5949663" cy="138112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07315" cy="1417722"/>
                    </a:xfrm>
                    <a:prstGeom prst="rect">
                      <a:avLst/>
                    </a:prstGeom>
                    <a:noFill/>
                    <a:ln>
                      <a:noFill/>
                    </a:ln>
                  </pic:spPr>
                </pic:pic>
              </a:graphicData>
            </a:graphic>
          </wp:inline>
        </w:drawing>
      </w:r>
    </w:p>
    <w:p w14:paraId="495C0A25" w14:textId="77777777" w:rsidR="004D028B" w:rsidRPr="004D028B" w:rsidRDefault="004D028B" w:rsidP="004D028B">
      <w:pPr>
        <w:tabs>
          <w:tab w:val="left" w:pos="910"/>
        </w:tabs>
        <w:spacing w:after="0" w:line="259" w:lineRule="auto"/>
        <w:rPr>
          <w:rFonts w:ascii="Arial" w:eastAsia="Times New Roman" w:hAnsi="Arial" w:cs="Arial"/>
          <w:sz w:val="10"/>
          <w:szCs w:val="20"/>
          <w:lang w:eastAsia="es-ES"/>
        </w:rPr>
      </w:pPr>
      <w:r>
        <w:rPr>
          <w:rFonts w:ascii="Arial" w:eastAsia="Times New Roman" w:hAnsi="Arial" w:cs="Arial"/>
          <w:sz w:val="10"/>
          <w:szCs w:val="20"/>
          <w:lang w:eastAsia="es-ES"/>
        </w:rPr>
        <w:t xml:space="preserve">   </w:t>
      </w:r>
      <w:r w:rsidRPr="004D028B">
        <w:rPr>
          <w:rFonts w:ascii="Arial" w:eastAsia="Times New Roman" w:hAnsi="Arial" w:cs="Arial"/>
          <w:sz w:val="10"/>
          <w:szCs w:val="20"/>
          <w:lang w:eastAsia="es-ES"/>
        </w:rPr>
        <w:t xml:space="preserve">Fuente: Matriz Ejecución Presupuestal </w:t>
      </w:r>
      <w:proofErr w:type="gramStart"/>
      <w:r>
        <w:rPr>
          <w:rFonts w:ascii="Arial" w:eastAsia="Times New Roman" w:hAnsi="Arial" w:cs="Arial"/>
          <w:sz w:val="10"/>
          <w:szCs w:val="20"/>
          <w:lang w:eastAsia="es-ES"/>
        </w:rPr>
        <w:t>Junio</w:t>
      </w:r>
      <w:proofErr w:type="gramEnd"/>
      <w:r>
        <w:rPr>
          <w:rFonts w:ascii="Arial" w:eastAsia="Times New Roman" w:hAnsi="Arial" w:cs="Arial"/>
          <w:sz w:val="10"/>
          <w:szCs w:val="20"/>
          <w:lang w:eastAsia="es-ES"/>
        </w:rPr>
        <w:t xml:space="preserve"> 2018 </w:t>
      </w:r>
      <w:r w:rsidRPr="004D028B">
        <w:rPr>
          <w:rFonts w:ascii="Arial" w:eastAsia="Times New Roman" w:hAnsi="Arial" w:cs="Arial"/>
          <w:sz w:val="10"/>
          <w:szCs w:val="20"/>
          <w:lang w:eastAsia="es-ES"/>
        </w:rPr>
        <w:t xml:space="preserve">TOTORO </w:t>
      </w:r>
    </w:p>
    <w:p w14:paraId="2EE5C145" w14:textId="44A2DA10" w:rsidR="00B71FFF" w:rsidRPr="009C7994" w:rsidRDefault="00B71FFF" w:rsidP="009C7994">
      <w:pPr>
        <w:tabs>
          <w:tab w:val="left" w:pos="910"/>
        </w:tabs>
        <w:spacing w:after="0"/>
        <w:jc w:val="both"/>
        <w:rPr>
          <w:rFonts w:ascii="Arial" w:eastAsia="Times New Roman" w:hAnsi="Arial" w:cs="Arial"/>
          <w:b/>
          <w:i/>
          <w:sz w:val="20"/>
          <w:szCs w:val="20"/>
          <w:lang w:eastAsia="es-ES"/>
        </w:rPr>
      </w:pPr>
    </w:p>
    <w:p w14:paraId="3F3435C7" w14:textId="77777777" w:rsidR="00DA545B" w:rsidRPr="00B71FFF" w:rsidRDefault="00CE6EFA" w:rsidP="00BF519D">
      <w:pPr>
        <w:pStyle w:val="Prrafodelista"/>
        <w:numPr>
          <w:ilvl w:val="2"/>
          <w:numId w:val="1"/>
        </w:numPr>
        <w:spacing w:after="0"/>
        <w:jc w:val="both"/>
        <w:rPr>
          <w:rFonts w:ascii="Arial" w:eastAsia="Calibri" w:hAnsi="Arial" w:cs="Arial"/>
          <w:b/>
          <w:sz w:val="20"/>
          <w:szCs w:val="20"/>
          <w:lang w:val="es-CO" w:eastAsia="es-ES"/>
        </w:rPr>
      </w:pPr>
      <w:r w:rsidRPr="00B71FFF">
        <w:rPr>
          <w:rFonts w:ascii="Arial" w:eastAsia="Calibri" w:hAnsi="Arial" w:cs="Arial"/>
          <w:b/>
          <w:sz w:val="20"/>
          <w:szCs w:val="20"/>
          <w:lang w:val="es-CO" w:eastAsia="es-ES"/>
        </w:rPr>
        <w:t xml:space="preserve">RUBRO DE INVERSIÓN </w:t>
      </w:r>
    </w:p>
    <w:p w14:paraId="50FFF898" w14:textId="77777777" w:rsidR="00B71FFF" w:rsidRPr="00B71FFF" w:rsidRDefault="00B71FFF" w:rsidP="00B71FFF">
      <w:pPr>
        <w:pStyle w:val="Prrafodelista"/>
        <w:spacing w:after="0"/>
        <w:jc w:val="both"/>
        <w:rPr>
          <w:rFonts w:ascii="Arial" w:eastAsia="Calibri" w:hAnsi="Arial" w:cs="Arial"/>
          <w:b/>
          <w:sz w:val="20"/>
          <w:szCs w:val="20"/>
          <w:lang w:val="es-CO" w:eastAsia="es-ES"/>
        </w:rPr>
      </w:pPr>
    </w:p>
    <w:p w14:paraId="06F0CF3E" w14:textId="7B7A5D57" w:rsidR="00B71FFF" w:rsidRDefault="00B71FFF" w:rsidP="00B71FFF">
      <w:pPr>
        <w:tabs>
          <w:tab w:val="left" w:pos="910"/>
        </w:tabs>
        <w:spacing w:after="0"/>
        <w:jc w:val="both"/>
        <w:rPr>
          <w:rFonts w:ascii="Arial" w:eastAsia="Calibri" w:hAnsi="Arial" w:cs="Arial"/>
          <w:sz w:val="20"/>
          <w:szCs w:val="20"/>
          <w:lang w:val="es-CO" w:eastAsia="es-CO"/>
        </w:rPr>
      </w:pPr>
      <w:r w:rsidRPr="00B71FFF">
        <w:rPr>
          <w:rFonts w:ascii="Arial" w:eastAsia="Times New Roman" w:hAnsi="Arial" w:cs="Arial"/>
          <w:sz w:val="20"/>
          <w:szCs w:val="20"/>
          <w:lang w:eastAsia="es-ES"/>
        </w:rPr>
        <w:t xml:space="preserve">Finalizado el primer semestre de 2018, la Unidad </w:t>
      </w:r>
      <w:r w:rsidRPr="00B71FFF">
        <w:rPr>
          <w:rFonts w:ascii="Arial" w:eastAsia="Calibri" w:hAnsi="Arial" w:cs="Arial"/>
          <w:sz w:val="20"/>
          <w:szCs w:val="20"/>
          <w:lang w:val="es-CO" w:eastAsia="es-CO"/>
        </w:rPr>
        <w:t>registra un avance</w:t>
      </w:r>
      <w:r w:rsidR="00F31735">
        <w:rPr>
          <w:rFonts w:ascii="Arial" w:eastAsia="Calibri" w:hAnsi="Arial" w:cs="Arial"/>
          <w:sz w:val="20"/>
          <w:szCs w:val="20"/>
          <w:lang w:val="es-CO" w:eastAsia="es-CO"/>
        </w:rPr>
        <w:t xml:space="preserve"> acumulado en inversión de 50% en compromisos y 39</w:t>
      </w:r>
      <w:r w:rsidRPr="00B71FFF">
        <w:rPr>
          <w:rFonts w:ascii="Arial" w:eastAsia="Calibri" w:hAnsi="Arial" w:cs="Arial"/>
          <w:sz w:val="20"/>
          <w:szCs w:val="20"/>
          <w:lang w:val="es-CO" w:eastAsia="es-CO"/>
        </w:rPr>
        <w:t>% en obligaciones y pagos respecto a las apropiaciones vigentes, la cual se puede apreciar en el siguiente cuadro:</w:t>
      </w:r>
    </w:p>
    <w:p w14:paraId="60115C49" w14:textId="2BD138F8" w:rsidR="004D028B" w:rsidRPr="008E0CB2" w:rsidRDefault="00F31735" w:rsidP="00603402">
      <w:pPr>
        <w:tabs>
          <w:tab w:val="left" w:pos="910"/>
        </w:tabs>
        <w:spacing w:after="0"/>
        <w:rPr>
          <w:rFonts w:ascii="Arial" w:eastAsia="Calibri" w:hAnsi="Arial" w:cs="Arial"/>
          <w:sz w:val="20"/>
          <w:szCs w:val="20"/>
          <w:lang w:val="es-CO" w:eastAsia="es-CO"/>
        </w:rPr>
      </w:pPr>
      <w:r w:rsidRPr="00E1794F">
        <w:rPr>
          <w:noProof/>
          <w:lang w:eastAsia="es-ES"/>
        </w:rPr>
        <w:lastRenderedPageBreak/>
        <w:drawing>
          <wp:inline distT="0" distB="0" distL="0" distR="0" wp14:anchorId="28A87B02" wp14:editId="646EBAE1">
            <wp:extent cx="6028055" cy="312420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21370" cy="3172563"/>
                    </a:xfrm>
                    <a:prstGeom prst="rect">
                      <a:avLst/>
                    </a:prstGeom>
                    <a:noFill/>
                    <a:ln>
                      <a:noFill/>
                    </a:ln>
                  </pic:spPr>
                </pic:pic>
              </a:graphicData>
            </a:graphic>
          </wp:inline>
        </w:drawing>
      </w:r>
      <w:r w:rsidR="004D028B" w:rsidRPr="004D028B">
        <w:rPr>
          <w:rFonts w:ascii="Arial" w:eastAsia="Times New Roman" w:hAnsi="Arial" w:cs="Arial"/>
          <w:sz w:val="10"/>
          <w:szCs w:val="20"/>
          <w:lang w:eastAsia="es-ES"/>
        </w:rPr>
        <w:t xml:space="preserve">Fuente: Matriz Ejecución Presupuestal </w:t>
      </w:r>
      <w:proofErr w:type="gramStart"/>
      <w:r w:rsidR="004D028B">
        <w:rPr>
          <w:rFonts w:ascii="Arial" w:eastAsia="Times New Roman" w:hAnsi="Arial" w:cs="Arial"/>
          <w:sz w:val="10"/>
          <w:szCs w:val="20"/>
          <w:lang w:eastAsia="es-ES"/>
        </w:rPr>
        <w:t>Junio</w:t>
      </w:r>
      <w:proofErr w:type="gramEnd"/>
      <w:r w:rsidR="004D028B">
        <w:rPr>
          <w:rFonts w:ascii="Arial" w:eastAsia="Times New Roman" w:hAnsi="Arial" w:cs="Arial"/>
          <w:sz w:val="10"/>
          <w:szCs w:val="20"/>
          <w:lang w:eastAsia="es-ES"/>
        </w:rPr>
        <w:t xml:space="preserve"> 2018 </w:t>
      </w:r>
      <w:r w:rsidR="004D028B" w:rsidRPr="004D028B">
        <w:rPr>
          <w:rFonts w:ascii="Arial" w:eastAsia="Times New Roman" w:hAnsi="Arial" w:cs="Arial"/>
          <w:sz w:val="10"/>
          <w:szCs w:val="20"/>
          <w:lang w:eastAsia="es-ES"/>
        </w:rPr>
        <w:t>TOTORO</w:t>
      </w:r>
    </w:p>
    <w:p w14:paraId="60A9722A" w14:textId="77777777" w:rsidR="0073238E" w:rsidRDefault="0073238E" w:rsidP="00B71FFF">
      <w:pPr>
        <w:tabs>
          <w:tab w:val="left" w:pos="910"/>
        </w:tabs>
        <w:spacing w:after="0"/>
        <w:jc w:val="both"/>
        <w:rPr>
          <w:rFonts w:ascii="Arial" w:eastAsia="Times New Roman" w:hAnsi="Arial" w:cs="Arial"/>
          <w:sz w:val="20"/>
          <w:szCs w:val="20"/>
          <w:lang w:val="es-CO" w:eastAsia="es-ES"/>
        </w:rPr>
      </w:pPr>
    </w:p>
    <w:p w14:paraId="5F8DA832" w14:textId="77777777" w:rsidR="00B71FFF" w:rsidRPr="00B71FFF" w:rsidRDefault="00B71FFF" w:rsidP="00B71FFF">
      <w:pPr>
        <w:tabs>
          <w:tab w:val="left" w:pos="910"/>
        </w:tabs>
        <w:spacing w:after="0"/>
        <w:jc w:val="both"/>
        <w:rPr>
          <w:rFonts w:ascii="Arial" w:eastAsia="Calibri" w:hAnsi="Arial" w:cs="Arial"/>
          <w:sz w:val="20"/>
          <w:szCs w:val="20"/>
          <w:lang w:val="es-CO" w:eastAsia="es-CO"/>
        </w:rPr>
      </w:pPr>
      <w:r w:rsidRPr="00B71FFF">
        <w:rPr>
          <w:rFonts w:ascii="Arial" w:eastAsia="Times New Roman" w:hAnsi="Arial" w:cs="Arial"/>
          <w:sz w:val="20"/>
          <w:szCs w:val="20"/>
          <w:lang w:val="es-CO" w:eastAsia="es-ES"/>
        </w:rPr>
        <w:t xml:space="preserve">Con base en </w:t>
      </w:r>
      <w:r w:rsidRPr="00B71FFF">
        <w:rPr>
          <w:rFonts w:ascii="Arial" w:eastAsia="Times New Roman" w:hAnsi="Arial" w:cs="Arial"/>
          <w:sz w:val="20"/>
          <w:szCs w:val="20"/>
          <w:lang w:eastAsia="es-ES"/>
        </w:rPr>
        <w:t>las cifras que aparecen registradas en el cuadro anterior, se observa que, cumplido el primer semestre de 2018, están pendiente por comprometer $591.038.415.773</w:t>
      </w:r>
      <w:r w:rsidR="00F31735">
        <w:rPr>
          <w:rFonts w:ascii="Arial" w:eastAsia="Times New Roman" w:hAnsi="Arial" w:cs="Arial"/>
          <w:sz w:val="20"/>
          <w:szCs w:val="20"/>
          <w:lang w:eastAsia="es-ES"/>
        </w:rPr>
        <w:t>, 71</w:t>
      </w:r>
      <w:r w:rsidRPr="00B71FFF">
        <w:rPr>
          <w:rFonts w:ascii="Arial" w:eastAsia="Times New Roman" w:hAnsi="Arial" w:cs="Arial"/>
          <w:sz w:val="20"/>
          <w:szCs w:val="20"/>
          <w:lang w:eastAsia="es-ES"/>
        </w:rPr>
        <w:t>, equivalentes al</w:t>
      </w:r>
      <w:r w:rsidRPr="00B71FFF">
        <w:rPr>
          <w:rFonts w:ascii="Arial" w:eastAsia="Calibri" w:hAnsi="Arial" w:cs="Arial"/>
          <w:sz w:val="20"/>
          <w:szCs w:val="20"/>
          <w:lang w:val="es-CO" w:eastAsia="es-CO"/>
        </w:rPr>
        <w:t xml:space="preserve"> 49,51% del presupuesto asignado a la Unidad. Dado lo anterior, se evidencia una mejora en el avance de lo comprometido con respecto a la vigencia anterior, donde a septiembre 30 de 2017 estaba pendiente por comprometer el 58%. </w:t>
      </w:r>
      <w:bookmarkStart w:id="2" w:name="_Hlk527963354"/>
      <w:r w:rsidRPr="00B71FFF">
        <w:rPr>
          <w:rFonts w:ascii="Arial" w:eastAsia="Calibri" w:hAnsi="Arial" w:cs="Arial"/>
          <w:sz w:val="20"/>
          <w:szCs w:val="20"/>
          <w:lang w:val="es-CO" w:eastAsia="es-CO"/>
        </w:rPr>
        <w:t>No obstante, se evidencia que, a pesar de lo comprometido en el primer semestre de 2018 en los 15 proyectos de inversión, tres (3) se encuentran por debajo del 45% de avance y dos (2) con el 26% y 15% respectivamente</w:t>
      </w:r>
      <w:bookmarkEnd w:id="2"/>
      <w:r w:rsidRPr="00B71FFF">
        <w:rPr>
          <w:rFonts w:ascii="Arial" w:eastAsia="Calibri" w:hAnsi="Arial" w:cs="Arial"/>
          <w:sz w:val="20"/>
          <w:szCs w:val="20"/>
          <w:lang w:val="es-CO" w:eastAsia="es-CO"/>
        </w:rPr>
        <w:t xml:space="preserve">. Asimismo, se presenta una situación similar en las obligaciones y pagos, en las cuales once (11) de los quince (15) proyectos de inversión, registran avances inferiores al </w:t>
      </w:r>
      <w:r w:rsidR="0073238E">
        <w:rPr>
          <w:rFonts w:ascii="Arial" w:eastAsia="Calibri" w:hAnsi="Arial" w:cs="Arial"/>
          <w:sz w:val="20"/>
          <w:szCs w:val="20"/>
          <w:lang w:val="es-CO" w:eastAsia="es-CO"/>
        </w:rPr>
        <w:t>35% y tres (3) entre el 45% y 47</w:t>
      </w:r>
      <w:r w:rsidRPr="00B71FFF">
        <w:rPr>
          <w:rFonts w:ascii="Arial" w:eastAsia="Calibri" w:hAnsi="Arial" w:cs="Arial"/>
          <w:sz w:val="20"/>
          <w:szCs w:val="20"/>
          <w:lang w:val="es-CO" w:eastAsia="es-CO"/>
        </w:rPr>
        <w:t xml:space="preserve">%. </w:t>
      </w:r>
      <w:r w:rsidR="0073238E">
        <w:rPr>
          <w:rFonts w:ascii="Arial" w:eastAsia="Calibri" w:hAnsi="Arial" w:cs="Arial"/>
          <w:sz w:val="20"/>
          <w:szCs w:val="20"/>
          <w:lang w:val="es-CO" w:eastAsia="es-CO"/>
        </w:rPr>
        <w:t>Para mayor ilustración del avance porcentual de ejecución de los 15 proyectos de inversión en cuanto a compromisos, obligaciones y pagos a continuación se muestra la siguiente gráfica:</w:t>
      </w:r>
    </w:p>
    <w:p w14:paraId="587A786E" w14:textId="77777777" w:rsidR="00F31735" w:rsidRPr="004D028B" w:rsidRDefault="00F31735" w:rsidP="004D028B">
      <w:pPr>
        <w:tabs>
          <w:tab w:val="left" w:pos="910"/>
        </w:tabs>
        <w:spacing w:after="0" w:line="259" w:lineRule="auto"/>
        <w:rPr>
          <w:rFonts w:ascii="Arial" w:eastAsia="Times New Roman" w:hAnsi="Arial" w:cs="Arial"/>
          <w:sz w:val="10"/>
          <w:szCs w:val="20"/>
          <w:lang w:eastAsia="es-ES"/>
        </w:rPr>
      </w:pPr>
    </w:p>
    <w:p w14:paraId="6D6AEDDF" w14:textId="77777777" w:rsidR="002112D1" w:rsidRDefault="002112D1" w:rsidP="002112D1">
      <w:pPr>
        <w:tabs>
          <w:tab w:val="left" w:pos="910"/>
        </w:tabs>
        <w:spacing w:after="0"/>
        <w:jc w:val="center"/>
        <w:rPr>
          <w:rFonts w:ascii="Arial" w:eastAsia="Calibri" w:hAnsi="Arial" w:cs="Arial"/>
          <w:sz w:val="20"/>
          <w:szCs w:val="20"/>
          <w:lang w:val="es-CO" w:eastAsia="es-CO"/>
        </w:rPr>
      </w:pPr>
      <w:r>
        <w:rPr>
          <w:rFonts w:ascii="Arial" w:eastAsia="Calibri" w:hAnsi="Arial" w:cs="Arial"/>
          <w:noProof/>
          <w:sz w:val="20"/>
          <w:szCs w:val="20"/>
          <w:lang w:eastAsia="es-ES"/>
        </w:rPr>
        <w:lastRenderedPageBreak/>
        <w:drawing>
          <wp:inline distT="0" distB="0" distL="0" distR="0" wp14:anchorId="748E4566" wp14:editId="5A767DBF">
            <wp:extent cx="6086475" cy="3867150"/>
            <wp:effectExtent l="0" t="0" r="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219292" cy="3951538"/>
                    </a:xfrm>
                    <a:prstGeom prst="rect">
                      <a:avLst/>
                    </a:prstGeom>
                    <a:noFill/>
                  </pic:spPr>
                </pic:pic>
              </a:graphicData>
            </a:graphic>
          </wp:inline>
        </w:drawing>
      </w:r>
    </w:p>
    <w:p w14:paraId="01DAC49B" w14:textId="77777777" w:rsidR="00E05EDB" w:rsidRDefault="00E05EDB" w:rsidP="0073238E">
      <w:pPr>
        <w:tabs>
          <w:tab w:val="left" w:pos="910"/>
        </w:tabs>
        <w:spacing w:after="0"/>
        <w:jc w:val="both"/>
        <w:rPr>
          <w:rFonts w:ascii="Arial" w:eastAsia="Times New Roman" w:hAnsi="Arial" w:cs="Arial"/>
          <w:sz w:val="10"/>
          <w:szCs w:val="20"/>
          <w:lang w:eastAsia="es-ES"/>
        </w:rPr>
      </w:pPr>
    </w:p>
    <w:p w14:paraId="5FB092F5" w14:textId="3C81B0D2" w:rsidR="00D75EE5" w:rsidRDefault="00D75EE5" w:rsidP="0073238E">
      <w:pPr>
        <w:tabs>
          <w:tab w:val="left" w:pos="910"/>
        </w:tabs>
        <w:spacing w:after="0"/>
        <w:jc w:val="both"/>
        <w:rPr>
          <w:rFonts w:ascii="Arial" w:eastAsia="Calibri" w:hAnsi="Arial" w:cs="Arial"/>
          <w:sz w:val="20"/>
          <w:szCs w:val="20"/>
          <w:lang w:val="es-CO" w:eastAsia="es-CO"/>
        </w:rPr>
      </w:pPr>
      <w:r>
        <w:rPr>
          <w:rFonts w:ascii="Arial" w:eastAsia="Times New Roman" w:hAnsi="Arial" w:cs="Arial"/>
          <w:sz w:val="10"/>
          <w:szCs w:val="20"/>
          <w:lang w:eastAsia="es-ES"/>
        </w:rPr>
        <w:t xml:space="preserve">                </w:t>
      </w:r>
      <w:r w:rsidRPr="004D028B">
        <w:rPr>
          <w:rFonts w:ascii="Arial" w:eastAsia="Times New Roman" w:hAnsi="Arial" w:cs="Arial"/>
          <w:sz w:val="10"/>
          <w:szCs w:val="20"/>
          <w:lang w:eastAsia="es-ES"/>
        </w:rPr>
        <w:t xml:space="preserve">Fuente: </w:t>
      </w:r>
      <w:r w:rsidR="00A9214C">
        <w:rPr>
          <w:rFonts w:ascii="Arial" w:eastAsia="Times New Roman" w:hAnsi="Arial" w:cs="Arial"/>
          <w:sz w:val="10"/>
          <w:szCs w:val="20"/>
          <w:lang w:eastAsia="es-ES"/>
        </w:rPr>
        <w:t>Propia</w:t>
      </w:r>
    </w:p>
    <w:p w14:paraId="3A348304" w14:textId="6EB638DE" w:rsidR="00B71FFF" w:rsidRDefault="00B71FFF" w:rsidP="0073238E">
      <w:pPr>
        <w:tabs>
          <w:tab w:val="left" w:pos="910"/>
        </w:tabs>
        <w:spacing w:after="0"/>
        <w:jc w:val="both"/>
        <w:rPr>
          <w:rFonts w:ascii="Arial" w:eastAsia="Calibri" w:hAnsi="Arial" w:cs="Arial"/>
          <w:sz w:val="20"/>
          <w:szCs w:val="20"/>
          <w:lang w:val="es-CO" w:eastAsia="es-CO"/>
        </w:rPr>
      </w:pPr>
      <w:r w:rsidRPr="00B71FFF">
        <w:rPr>
          <w:rFonts w:ascii="Arial" w:eastAsia="Calibri" w:hAnsi="Arial" w:cs="Arial"/>
          <w:sz w:val="20"/>
          <w:szCs w:val="20"/>
          <w:lang w:val="es-CO" w:eastAsia="es-CO"/>
        </w:rPr>
        <w:t>Por consiguiente, la O</w:t>
      </w:r>
      <w:r w:rsidR="0073238E">
        <w:rPr>
          <w:rFonts w:ascii="Arial" w:eastAsia="Calibri" w:hAnsi="Arial" w:cs="Arial"/>
          <w:sz w:val="20"/>
          <w:szCs w:val="20"/>
          <w:lang w:val="es-CO" w:eastAsia="es-CO"/>
        </w:rPr>
        <w:t xml:space="preserve">ficina de Control Interno alerta </w:t>
      </w:r>
      <w:r w:rsidRPr="00B71FFF">
        <w:rPr>
          <w:rFonts w:ascii="Arial" w:eastAsia="Calibri" w:hAnsi="Arial" w:cs="Arial"/>
          <w:sz w:val="20"/>
          <w:szCs w:val="20"/>
          <w:lang w:val="es-CO" w:eastAsia="es-CO"/>
        </w:rPr>
        <w:t xml:space="preserve">a las dependencias responsables del cumplimiento en la ejecución de los proyectos de inversión, con el fin de que adelanten las acciones necesarias que permitan ejecutar de manera pertinente los recursos en el segundo semestre de 2018. </w:t>
      </w:r>
      <w:r w:rsidR="0073238E">
        <w:rPr>
          <w:rFonts w:ascii="Arial" w:eastAsia="Calibri" w:hAnsi="Arial" w:cs="Arial"/>
          <w:sz w:val="20"/>
          <w:szCs w:val="20"/>
          <w:lang w:val="es-CO" w:eastAsia="es-CO"/>
        </w:rPr>
        <w:t xml:space="preserve"> </w:t>
      </w:r>
    </w:p>
    <w:p w14:paraId="0B9305CD" w14:textId="77777777" w:rsidR="0073238E" w:rsidRPr="00B71FFF" w:rsidRDefault="0073238E" w:rsidP="0073238E">
      <w:pPr>
        <w:tabs>
          <w:tab w:val="left" w:pos="910"/>
        </w:tabs>
        <w:spacing w:after="0"/>
        <w:jc w:val="both"/>
        <w:rPr>
          <w:rFonts w:ascii="Arial" w:eastAsia="Calibri" w:hAnsi="Arial" w:cs="Arial"/>
          <w:sz w:val="20"/>
          <w:szCs w:val="20"/>
          <w:lang w:val="es-CO" w:eastAsia="es-CO"/>
        </w:rPr>
      </w:pPr>
    </w:p>
    <w:p w14:paraId="225238AE" w14:textId="7AE3EDA8" w:rsidR="00B71FFF" w:rsidRPr="00B71FFF" w:rsidRDefault="00B71FFF" w:rsidP="00E05EDB">
      <w:pPr>
        <w:tabs>
          <w:tab w:val="left" w:pos="910"/>
        </w:tabs>
        <w:spacing w:after="0"/>
        <w:jc w:val="both"/>
        <w:rPr>
          <w:rFonts w:ascii="Arial" w:eastAsia="Times New Roman" w:hAnsi="Arial" w:cs="Arial"/>
          <w:color w:val="C00000"/>
          <w:sz w:val="20"/>
          <w:szCs w:val="20"/>
          <w:lang w:eastAsia="es-ES"/>
        </w:rPr>
      </w:pPr>
      <w:r w:rsidRPr="00B71FFF">
        <w:rPr>
          <w:rFonts w:ascii="Arial" w:eastAsia="Times New Roman" w:hAnsi="Arial" w:cs="Arial"/>
          <w:sz w:val="20"/>
          <w:szCs w:val="20"/>
          <w:lang w:val="es-CO" w:eastAsia="es-ES"/>
        </w:rPr>
        <w:t xml:space="preserve">Sumado a lo anterior, en el cuadro siguiente </w:t>
      </w:r>
      <w:r w:rsidRPr="00B71FFF">
        <w:rPr>
          <w:rFonts w:ascii="Arial" w:eastAsia="Times New Roman" w:hAnsi="Arial" w:cs="Arial"/>
          <w:sz w:val="20"/>
          <w:szCs w:val="20"/>
          <w:lang w:eastAsia="es-ES"/>
        </w:rPr>
        <w:t>se observa una diferencia entre lo comprometido y obligado por $134.634.675.013,10, equivalente al 22,3%. De los 15 proyectos de inversión, seis (6) tienen pendientes por obligar entre el 68% y 88%. Se anexa cuadro que corrobora lo mencionado:</w:t>
      </w:r>
    </w:p>
    <w:p w14:paraId="47552F52" w14:textId="77777777" w:rsidR="00B71FFF" w:rsidRPr="00B71FFF" w:rsidRDefault="00B71FFF" w:rsidP="00B71FFF">
      <w:pPr>
        <w:tabs>
          <w:tab w:val="left" w:pos="910"/>
        </w:tabs>
        <w:spacing w:after="0"/>
        <w:jc w:val="center"/>
        <w:rPr>
          <w:rFonts w:ascii="Arial" w:eastAsia="Times New Roman" w:hAnsi="Arial" w:cs="Arial"/>
          <w:b/>
          <w:sz w:val="20"/>
          <w:szCs w:val="20"/>
          <w:lang w:eastAsia="es-ES"/>
        </w:rPr>
      </w:pPr>
    </w:p>
    <w:p w14:paraId="2A053AE7" w14:textId="77777777" w:rsidR="00B71FFF" w:rsidRPr="00B71FFF" w:rsidRDefault="00EA5C9B" w:rsidP="00B71FFF">
      <w:pPr>
        <w:tabs>
          <w:tab w:val="left" w:pos="910"/>
        </w:tabs>
        <w:spacing w:after="0"/>
        <w:jc w:val="center"/>
        <w:rPr>
          <w:rFonts w:ascii="Arial" w:eastAsia="Times New Roman" w:hAnsi="Arial" w:cs="Arial"/>
          <w:color w:val="C00000"/>
          <w:sz w:val="20"/>
          <w:szCs w:val="20"/>
          <w:lang w:eastAsia="es-ES"/>
        </w:rPr>
      </w:pPr>
      <w:bookmarkStart w:id="3" w:name="_Hlk527017465"/>
      <w:r w:rsidRPr="00EA5C9B">
        <w:rPr>
          <w:noProof/>
          <w:lang w:eastAsia="es-ES"/>
        </w:rPr>
        <w:lastRenderedPageBreak/>
        <w:drawing>
          <wp:inline distT="0" distB="0" distL="0" distR="0" wp14:anchorId="2EAA69CB" wp14:editId="4F66363F">
            <wp:extent cx="5572125" cy="4829175"/>
            <wp:effectExtent l="0" t="0" r="9525" b="9525"/>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599306" cy="4852732"/>
                    </a:xfrm>
                    <a:prstGeom prst="rect">
                      <a:avLst/>
                    </a:prstGeom>
                    <a:noFill/>
                    <a:ln>
                      <a:noFill/>
                    </a:ln>
                  </pic:spPr>
                </pic:pic>
              </a:graphicData>
            </a:graphic>
          </wp:inline>
        </w:drawing>
      </w:r>
    </w:p>
    <w:p w14:paraId="25B168CA" w14:textId="77777777" w:rsidR="004D028B" w:rsidRPr="004D028B" w:rsidRDefault="004D028B" w:rsidP="004D028B">
      <w:pPr>
        <w:tabs>
          <w:tab w:val="left" w:pos="910"/>
        </w:tabs>
        <w:spacing w:after="0" w:line="259" w:lineRule="auto"/>
        <w:rPr>
          <w:rFonts w:ascii="Arial" w:eastAsia="Times New Roman" w:hAnsi="Arial" w:cs="Arial"/>
          <w:sz w:val="10"/>
          <w:szCs w:val="20"/>
          <w:lang w:eastAsia="es-ES"/>
        </w:rPr>
      </w:pPr>
      <w:r>
        <w:rPr>
          <w:rFonts w:ascii="Arial" w:eastAsia="Times New Roman" w:hAnsi="Arial" w:cs="Arial"/>
          <w:sz w:val="10"/>
          <w:szCs w:val="20"/>
          <w:lang w:eastAsia="es-ES"/>
        </w:rPr>
        <w:t xml:space="preserve">                 </w:t>
      </w:r>
      <w:r w:rsidR="00EA5C9B">
        <w:rPr>
          <w:rFonts w:ascii="Arial" w:eastAsia="Times New Roman" w:hAnsi="Arial" w:cs="Arial"/>
          <w:sz w:val="10"/>
          <w:szCs w:val="20"/>
          <w:lang w:eastAsia="es-ES"/>
        </w:rPr>
        <w:t xml:space="preserve">                          </w:t>
      </w:r>
      <w:r w:rsidRPr="004D028B">
        <w:rPr>
          <w:rFonts w:ascii="Arial" w:eastAsia="Times New Roman" w:hAnsi="Arial" w:cs="Arial"/>
          <w:sz w:val="10"/>
          <w:szCs w:val="20"/>
          <w:lang w:eastAsia="es-ES"/>
        </w:rPr>
        <w:t xml:space="preserve">Fuente: Matriz Ejecución Presupuestal </w:t>
      </w:r>
      <w:proofErr w:type="gramStart"/>
      <w:r>
        <w:rPr>
          <w:rFonts w:ascii="Arial" w:eastAsia="Times New Roman" w:hAnsi="Arial" w:cs="Arial"/>
          <w:sz w:val="10"/>
          <w:szCs w:val="20"/>
          <w:lang w:eastAsia="es-ES"/>
        </w:rPr>
        <w:t>Junio</w:t>
      </w:r>
      <w:proofErr w:type="gramEnd"/>
      <w:r>
        <w:rPr>
          <w:rFonts w:ascii="Arial" w:eastAsia="Times New Roman" w:hAnsi="Arial" w:cs="Arial"/>
          <w:sz w:val="10"/>
          <w:szCs w:val="20"/>
          <w:lang w:eastAsia="es-ES"/>
        </w:rPr>
        <w:t xml:space="preserve"> 2018 </w:t>
      </w:r>
      <w:r w:rsidRPr="004D028B">
        <w:rPr>
          <w:rFonts w:ascii="Arial" w:eastAsia="Times New Roman" w:hAnsi="Arial" w:cs="Arial"/>
          <w:sz w:val="10"/>
          <w:szCs w:val="20"/>
          <w:lang w:eastAsia="es-ES"/>
        </w:rPr>
        <w:t xml:space="preserve">TOTORO </w:t>
      </w:r>
    </w:p>
    <w:p w14:paraId="09A5F04E" w14:textId="4A36ED06" w:rsidR="004D028B" w:rsidRPr="00CB7B63" w:rsidRDefault="004D028B" w:rsidP="00CB7B63">
      <w:pPr>
        <w:tabs>
          <w:tab w:val="left" w:pos="910"/>
        </w:tabs>
        <w:spacing w:after="0" w:line="259" w:lineRule="auto"/>
        <w:rPr>
          <w:rFonts w:ascii="Arial" w:eastAsia="Times New Roman" w:hAnsi="Arial" w:cs="Arial"/>
          <w:sz w:val="10"/>
          <w:szCs w:val="20"/>
          <w:lang w:eastAsia="es-ES"/>
        </w:rPr>
      </w:pPr>
      <w:r>
        <w:rPr>
          <w:rFonts w:ascii="Arial" w:eastAsia="Times New Roman" w:hAnsi="Arial" w:cs="Arial"/>
          <w:sz w:val="10"/>
          <w:szCs w:val="20"/>
          <w:lang w:eastAsia="es-ES"/>
        </w:rPr>
        <w:t xml:space="preserve">                 </w:t>
      </w:r>
      <w:r w:rsidR="00CB7B63">
        <w:rPr>
          <w:rFonts w:ascii="Arial" w:eastAsia="Times New Roman" w:hAnsi="Arial" w:cs="Arial"/>
          <w:sz w:val="10"/>
          <w:szCs w:val="20"/>
          <w:lang w:eastAsia="es-ES"/>
        </w:rPr>
        <w:t xml:space="preserve">                       </w:t>
      </w:r>
    </w:p>
    <w:p w14:paraId="2F7C3D04" w14:textId="77777777" w:rsidR="00E05EDB" w:rsidRDefault="00E05EDB" w:rsidP="00A006BE">
      <w:pPr>
        <w:tabs>
          <w:tab w:val="left" w:pos="910"/>
        </w:tabs>
        <w:spacing w:after="0"/>
        <w:contextualSpacing/>
        <w:jc w:val="both"/>
        <w:rPr>
          <w:rFonts w:ascii="Arial" w:eastAsia="Calibri" w:hAnsi="Arial" w:cs="Arial"/>
          <w:b/>
          <w:sz w:val="20"/>
          <w:szCs w:val="20"/>
          <w:lang w:val="es-CO" w:eastAsia="es-CO"/>
        </w:rPr>
      </w:pPr>
    </w:p>
    <w:p w14:paraId="3E00A32C" w14:textId="77777777" w:rsidR="00B71FFF" w:rsidRPr="00B71FFF" w:rsidRDefault="00B71FFF" w:rsidP="00A006BE">
      <w:pPr>
        <w:tabs>
          <w:tab w:val="left" w:pos="910"/>
        </w:tabs>
        <w:spacing w:after="0"/>
        <w:contextualSpacing/>
        <w:jc w:val="both"/>
        <w:rPr>
          <w:rFonts w:ascii="Arial" w:eastAsia="Calibri" w:hAnsi="Arial" w:cs="Arial"/>
          <w:b/>
          <w:sz w:val="20"/>
          <w:szCs w:val="20"/>
          <w:lang w:val="es-CO" w:eastAsia="es-CO"/>
        </w:rPr>
      </w:pPr>
      <w:r w:rsidRPr="00B71FFF">
        <w:rPr>
          <w:rFonts w:ascii="Arial" w:eastAsia="Calibri" w:hAnsi="Arial" w:cs="Arial"/>
          <w:b/>
          <w:sz w:val="20"/>
          <w:szCs w:val="20"/>
          <w:lang w:val="es-CO" w:eastAsia="es-CO"/>
        </w:rPr>
        <w:t>Compromisos vs Pagos</w:t>
      </w:r>
    </w:p>
    <w:p w14:paraId="3980A9B9" w14:textId="77777777" w:rsidR="00B71FFF" w:rsidRPr="00B71FFF" w:rsidRDefault="00B71FFF" w:rsidP="00B71FFF">
      <w:pPr>
        <w:tabs>
          <w:tab w:val="left" w:pos="5704"/>
        </w:tabs>
        <w:spacing w:after="0"/>
        <w:jc w:val="both"/>
        <w:rPr>
          <w:rFonts w:ascii="Arial" w:eastAsia="Calibri" w:hAnsi="Arial" w:cs="Arial"/>
          <w:sz w:val="20"/>
          <w:szCs w:val="20"/>
          <w:lang w:val="es-CO" w:eastAsia="es-CO"/>
        </w:rPr>
      </w:pPr>
      <w:r w:rsidRPr="00B71FFF">
        <w:rPr>
          <w:rFonts w:ascii="Arial" w:eastAsia="Calibri" w:hAnsi="Arial" w:cs="Arial"/>
          <w:sz w:val="20"/>
          <w:szCs w:val="20"/>
          <w:lang w:val="es-CO" w:eastAsia="es-CO"/>
        </w:rPr>
        <w:tab/>
      </w:r>
    </w:p>
    <w:p w14:paraId="17FBF6C6" w14:textId="77777777" w:rsidR="00B71FFF" w:rsidRPr="00B71FFF" w:rsidRDefault="00B71FFF" w:rsidP="00B71FFF">
      <w:pPr>
        <w:tabs>
          <w:tab w:val="left" w:pos="910"/>
        </w:tabs>
        <w:spacing w:after="0"/>
        <w:jc w:val="both"/>
        <w:rPr>
          <w:rFonts w:ascii="Arial" w:eastAsia="Calibri" w:hAnsi="Arial" w:cs="Arial"/>
          <w:sz w:val="20"/>
          <w:szCs w:val="20"/>
          <w:lang w:val="es-CO" w:eastAsia="es-CO"/>
        </w:rPr>
      </w:pPr>
      <w:r w:rsidRPr="00B71FFF">
        <w:rPr>
          <w:rFonts w:ascii="Arial" w:eastAsia="Calibri" w:hAnsi="Arial" w:cs="Arial"/>
          <w:sz w:val="20"/>
          <w:szCs w:val="20"/>
          <w:lang w:val="es-CO" w:eastAsia="es-CO"/>
        </w:rPr>
        <w:t xml:space="preserve">En lo que respecta a la información relacionada con la verificación y análisis de los </w:t>
      </w:r>
      <w:r w:rsidRPr="006921AA">
        <w:rPr>
          <w:rFonts w:ascii="Arial" w:eastAsia="Calibri" w:hAnsi="Arial" w:cs="Arial"/>
          <w:sz w:val="20"/>
          <w:szCs w:val="20"/>
          <w:lang w:val="es-CO" w:eastAsia="es-CO"/>
        </w:rPr>
        <w:t xml:space="preserve">compromisos vs pagos, finalizado el primer semestre de 2018, se observa un avance del 77,66% frente a los compromisos establecidos. Sin embargo, se evidencia que de los quince (15) proyectos de inversión, solo en uno (1) se ha efectuado el pago total (100%) de lo comprometido y en otro el 95%. </w:t>
      </w:r>
      <w:r w:rsidR="00C9364E">
        <w:rPr>
          <w:rFonts w:ascii="Arial" w:eastAsia="Calibri" w:hAnsi="Arial" w:cs="Arial"/>
          <w:sz w:val="20"/>
          <w:szCs w:val="20"/>
          <w:lang w:val="es-CO" w:eastAsia="es-CO"/>
        </w:rPr>
        <w:t>Asi</w:t>
      </w:r>
      <w:r w:rsidRPr="006921AA">
        <w:rPr>
          <w:rFonts w:ascii="Arial" w:eastAsia="Calibri" w:hAnsi="Arial" w:cs="Arial"/>
          <w:sz w:val="20"/>
          <w:szCs w:val="20"/>
          <w:lang w:val="es-CO" w:eastAsia="es-CO"/>
        </w:rPr>
        <w:t>mismo, en dos (2) se han pagado el 82% y 71% respectivamente, entre tanto que los once (11)</w:t>
      </w:r>
      <w:r w:rsidRPr="00B71FFF">
        <w:rPr>
          <w:rFonts w:ascii="Arial" w:eastAsia="Calibri" w:hAnsi="Arial" w:cs="Arial"/>
          <w:sz w:val="20"/>
          <w:szCs w:val="20"/>
          <w:lang w:val="es-CO" w:eastAsia="es-CO"/>
        </w:rPr>
        <w:t xml:space="preserve"> restantes, el pago que se ha realizado no super</w:t>
      </w:r>
      <w:r w:rsidR="0073238E">
        <w:rPr>
          <w:rFonts w:ascii="Arial" w:eastAsia="Calibri" w:hAnsi="Arial" w:cs="Arial"/>
          <w:sz w:val="20"/>
          <w:szCs w:val="20"/>
          <w:lang w:val="es-CO" w:eastAsia="es-CO"/>
        </w:rPr>
        <w:t xml:space="preserve">a el 60%. Se anexa cuadro que </w:t>
      </w:r>
      <w:r w:rsidRPr="00B71FFF">
        <w:rPr>
          <w:rFonts w:ascii="Arial" w:eastAsia="Calibri" w:hAnsi="Arial" w:cs="Arial"/>
          <w:sz w:val="20"/>
          <w:szCs w:val="20"/>
          <w:lang w:val="es-CO" w:eastAsia="es-CO"/>
        </w:rPr>
        <w:t>valida lo mencionado.</w:t>
      </w:r>
    </w:p>
    <w:bookmarkEnd w:id="3"/>
    <w:p w14:paraId="3836D83B" w14:textId="77777777" w:rsidR="00B71FFF" w:rsidRPr="00B71FFF" w:rsidRDefault="00B71FFF" w:rsidP="00B71FFF">
      <w:pPr>
        <w:tabs>
          <w:tab w:val="left" w:pos="910"/>
        </w:tabs>
        <w:spacing w:after="0"/>
        <w:jc w:val="both"/>
        <w:rPr>
          <w:rFonts w:ascii="Arial" w:eastAsia="Calibri" w:hAnsi="Arial" w:cs="Arial"/>
          <w:sz w:val="20"/>
          <w:szCs w:val="20"/>
          <w:lang w:val="es-CO" w:eastAsia="es-CO"/>
        </w:rPr>
      </w:pPr>
    </w:p>
    <w:p w14:paraId="2B122228" w14:textId="77777777" w:rsidR="00B71FFF" w:rsidRPr="00B71FFF" w:rsidRDefault="00EA5C9B" w:rsidP="00B71FFF">
      <w:pPr>
        <w:tabs>
          <w:tab w:val="left" w:pos="910"/>
        </w:tabs>
        <w:spacing w:after="0"/>
        <w:jc w:val="center"/>
        <w:rPr>
          <w:rFonts w:ascii="Arial" w:eastAsia="Calibri" w:hAnsi="Arial" w:cs="Arial"/>
          <w:b/>
          <w:sz w:val="20"/>
          <w:szCs w:val="20"/>
          <w:lang w:val="es-CO" w:eastAsia="es-CO"/>
        </w:rPr>
      </w:pPr>
      <w:r w:rsidRPr="00EA5C9B">
        <w:rPr>
          <w:noProof/>
          <w:lang w:eastAsia="es-ES"/>
        </w:rPr>
        <w:lastRenderedPageBreak/>
        <w:drawing>
          <wp:inline distT="0" distB="0" distL="0" distR="0" wp14:anchorId="2FC6F589" wp14:editId="57EFBC51">
            <wp:extent cx="5676900" cy="4162425"/>
            <wp:effectExtent l="0" t="0" r="0" b="9525"/>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698228" cy="4178063"/>
                    </a:xfrm>
                    <a:prstGeom prst="rect">
                      <a:avLst/>
                    </a:prstGeom>
                    <a:noFill/>
                    <a:ln>
                      <a:noFill/>
                    </a:ln>
                  </pic:spPr>
                </pic:pic>
              </a:graphicData>
            </a:graphic>
          </wp:inline>
        </w:drawing>
      </w:r>
    </w:p>
    <w:p w14:paraId="71B52063" w14:textId="77777777" w:rsidR="004D028B" w:rsidRPr="004D028B" w:rsidRDefault="00EA5C9B" w:rsidP="004D028B">
      <w:pPr>
        <w:tabs>
          <w:tab w:val="left" w:pos="910"/>
        </w:tabs>
        <w:spacing w:after="0" w:line="259" w:lineRule="auto"/>
        <w:rPr>
          <w:rFonts w:ascii="Arial" w:eastAsia="Times New Roman" w:hAnsi="Arial" w:cs="Arial"/>
          <w:sz w:val="10"/>
          <w:szCs w:val="20"/>
          <w:lang w:eastAsia="es-ES"/>
        </w:rPr>
      </w:pPr>
      <w:r>
        <w:rPr>
          <w:rFonts w:ascii="Arial" w:eastAsia="Times New Roman" w:hAnsi="Arial" w:cs="Arial"/>
          <w:sz w:val="10"/>
          <w:szCs w:val="20"/>
          <w:lang w:eastAsia="es-ES"/>
        </w:rPr>
        <w:t xml:space="preserve">                                                           </w:t>
      </w:r>
      <w:r w:rsidR="004D028B" w:rsidRPr="004D028B">
        <w:rPr>
          <w:rFonts w:ascii="Arial" w:eastAsia="Times New Roman" w:hAnsi="Arial" w:cs="Arial"/>
          <w:sz w:val="10"/>
          <w:szCs w:val="20"/>
          <w:lang w:eastAsia="es-ES"/>
        </w:rPr>
        <w:t xml:space="preserve">Fuente: Matriz Ejecución Presupuestal </w:t>
      </w:r>
      <w:proofErr w:type="gramStart"/>
      <w:r w:rsidR="004D028B">
        <w:rPr>
          <w:rFonts w:ascii="Arial" w:eastAsia="Times New Roman" w:hAnsi="Arial" w:cs="Arial"/>
          <w:sz w:val="10"/>
          <w:szCs w:val="20"/>
          <w:lang w:eastAsia="es-ES"/>
        </w:rPr>
        <w:t>Junio</w:t>
      </w:r>
      <w:proofErr w:type="gramEnd"/>
      <w:r w:rsidR="004D028B">
        <w:rPr>
          <w:rFonts w:ascii="Arial" w:eastAsia="Times New Roman" w:hAnsi="Arial" w:cs="Arial"/>
          <w:sz w:val="10"/>
          <w:szCs w:val="20"/>
          <w:lang w:eastAsia="es-ES"/>
        </w:rPr>
        <w:t xml:space="preserve"> 2018 </w:t>
      </w:r>
      <w:r w:rsidR="004D028B" w:rsidRPr="004D028B">
        <w:rPr>
          <w:rFonts w:ascii="Arial" w:eastAsia="Times New Roman" w:hAnsi="Arial" w:cs="Arial"/>
          <w:sz w:val="10"/>
          <w:szCs w:val="20"/>
          <w:lang w:eastAsia="es-ES"/>
        </w:rPr>
        <w:t xml:space="preserve">TOTORO </w:t>
      </w:r>
    </w:p>
    <w:p w14:paraId="7126F6DA" w14:textId="7FA8F033" w:rsidR="00B71FFF" w:rsidRPr="00CB7B63" w:rsidRDefault="00EA5C9B" w:rsidP="00CB7B63">
      <w:pPr>
        <w:tabs>
          <w:tab w:val="left" w:pos="910"/>
        </w:tabs>
        <w:spacing w:after="0" w:line="259" w:lineRule="auto"/>
        <w:rPr>
          <w:rFonts w:ascii="Arial" w:eastAsia="Times New Roman" w:hAnsi="Arial" w:cs="Arial"/>
          <w:sz w:val="10"/>
          <w:szCs w:val="20"/>
          <w:lang w:eastAsia="es-ES"/>
        </w:rPr>
      </w:pPr>
      <w:r>
        <w:rPr>
          <w:rFonts w:ascii="Arial" w:eastAsia="Times New Roman" w:hAnsi="Arial" w:cs="Arial"/>
          <w:sz w:val="10"/>
          <w:szCs w:val="20"/>
          <w:lang w:eastAsia="es-ES"/>
        </w:rPr>
        <w:t xml:space="preserve">                                                        </w:t>
      </w:r>
      <w:r w:rsidR="00CB7B63">
        <w:rPr>
          <w:rFonts w:ascii="Arial" w:eastAsia="Times New Roman" w:hAnsi="Arial" w:cs="Arial"/>
          <w:sz w:val="10"/>
          <w:szCs w:val="20"/>
          <w:lang w:eastAsia="es-ES"/>
        </w:rPr>
        <w:t xml:space="preserve">  </w:t>
      </w:r>
    </w:p>
    <w:p w14:paraId="26F72235" w14:textId="77777777" w:rsidR="00E05EDB" w:rsidRDefault="00E05EDB" w:rsidP="00B71FFF">
      <w:pPr>
        <w:tabs>
          <w:tab w:val="left" w:pos="910"/>
        </w:tabs>
        <w:spacing w:after="0"/>
        <w:contextualSpacing/>
        <w:jc w:val="both"/>
        <w:rPr>
          <w:rFonts w:ascii="Arial" w:eastAsia="MS Mincho" w:hAnsi="Arial" w:cs="Arial"/>
          <w:b/>
          <w:sz w:val="20"/>
          <w:szCs w:val="20"/>
          <w:lang w:eastAsia="es-ES"/>
        </w:rPr>
      </w:pPr>
    </w:p>
    <w:p w14:paraId="7ED8FE88" w14:textId="77777777" w:rsidR="00B71FFF" w:rsidRPr="00B71FFF" w:rsidRDefault="00B71FFF" w:rsidP="00B71FFF">
      <w:pPr>
        <w:tabs>
          <w:tab w:val="left" w:pos="910"/>
        </w:tabs>
        <w:spacing w:after="0"/>
        <w:contextualSpacing/>
        <w:jc w:val="both"/>
        <w:rPr>
          <w:rFonts w:ascii="Arial" w:eastAsia="Calibri" w:hAnsi="Arial" w:cs="Arial"/>
          <w:sz w:val="20"/>
          <w:szCs w:val="20"/>
          <w:lang w:val="es-CO" w:eastAsia="es-CO"/>
        </w:rPr>
      </w:pPr>
      <w:r w:rsidRPr="00B71FFF">
        <w:rPr>
          <w:rFonts w:ascii="Arial" w:eastAsia="MS Mincho" w:hAnsi="Arial" w:cs="Arial"/>
          <w:b/>
          <w:sz w:val="20"/>
          <w:szCs w:val="20"/>
          <w:lang w:eastAsia="es-ES"/>
        </w:rPr>
        <w:t xml:space="preserve">Ejecución Presupuestal por Proyecto de Inversión. </w:t>
      </w:r>
    </w:p>
    <w:p w14:paraId="65A992A0" w14:textId="77777777" w:rsidR="00B71FFF" w:rsidRPr="00B71FFF" w:rsidRDefault="00B71FFF" w:rsidP="00B71FFF">
      <w:pPr>
        <w:tabs>
          <w:tab w:val="left" w:pos="910"/>
        </w:tabs>
        <w:spacing w:after="0"/>
        <w:jc w:val="both"/>
        <w:rPr>
          <w:rFonts w:ascii="Arial" w:eastAsia="Calibri" w:hAnsi="Arial" w:cs="Arial"/>
          <w:sz w:val="20"/>
          <w:szCs w:val="20"/>
          <w:lang w:val="es-CO" w:eastAsia="es-CO"/>
        </w:rPr>
      </w:pPr>
    </w:p>
    <w:p w14:paraId="356B01A1" w14:textId="77777777" w:rsidR="00B71FFF" w:rsidRPr="00B71FFF" w:rsidRDefault="00B71FFF" w:rsidP="00B71FFF">
      <w:pPr>
        <w:tabs>
          <w:tab w:val="left" w:pos="910"/>
        </w:tabs>
        <w:spacing w:after="0"/>
        <w:jc w:val="both"/>
        <w:rPr>
          <w:rFonts w:ascii="Arial" w:eastAsia="Calibri" w:hAnsi="Arial" w:cs="Arial"/>
          <w:sz w:val="20"/>
          <w:szCs w:val="20"/>
          <w:lang w:val="es-CO" w:eastAsia="es-CO"/>
        </w:rPr>
      </w:pPr>
      <w:r w:rsidRPr="00B71FFF">
        <w:rPr>
          <w:rFonts w:ascii="Arial" w:eastAsia="Calibri" w:hAnsi="Arial" w:cs="Arial"/>
          <w:sz w:val="20"/>
          <w:szCs w:val="20"/>
          <w:lang w:val="es-CO" w:eastAsia="es-CO"/>
        </w:rPr>
        <w:t>Se entiende que la inversión pública es la instrumentación por parte del Estado de aumentar la capacidad económica del país en la prestación de servicios, mediante la asignación de recursos disponibles en proyectos de inversión en el presente para generar un mayor bienestar en el futuro. En este orden de ideas, un proyecto de inversión involucra componentes y actividades en el cumplimiento del objetivo general en el cual enmarca las principales metas y actividades a realizar por el mismo. Dado lo anterior, a continuación, se muestra la ejecución presupuestal de cada proyecto de inversión de la Unidad</w:t>
      </w:r>
      <w:r w:rsidR="00A751CC">
        <w:rPr>
          <w:rFonts w:ascii="Arial" w:eastAsia="Calibri" w:hAnsi="Arial" w:cs="Arial"/>
          <w:sz w:val="20"/>
          <w:szCs w:val="20"/>
          <w:lang w:val="es-CO" w:eastAsia="es-CO"/>
        </w:rPr>
        <w:t xml:space="preserve"> de acuerdo con la información tomada de TOTORO y así mismo se realiza el análisis de la información tomada en los cuadros siguientes</w:t>
      </w:r>
      <w:r w:rsidRPr="00B71FFF">
        <w:rPr>
          <w:rFonts w:ascii="Arial" w:eastAsia="Calibri" w:hAnsi="Arial" w:cs="Arial"/>
          <w:sz w:val="20"/>
          <w:szCs w:val="20"/>
          <w:lang w:val="es-CO" w:eastAsia="es-CO"/>
        </w:rPr>
        <w:t>, con corte a 30 de junio de 2018, así:</w:t>
      </w:r>
    </w:p>
    <w:p w14:paraId="652A60D7" w14:textId="77777777" w:rsidR="00B71FFF" w:rsidRPr="00B71FFF" w:rsidRDefault="00B71FFF" w:rsidP="00B71FFF">
      <w:pPr>
        <w:tabs>
          <w:tab w:val="left" w:pos="910"/>
        </w:tabs>
        <w:spacing w:after="0"/>
        <w:jc w:val="both"/>
        <w:rPr>
          <w:rFonts w:ascii="Arial" w:eastAsia="Calibri" w:hAnsi="Arial" w:cs="Arial"/>
          <w:sz w:val="20"/>
          <w:szCs w:val="20"/>
          <w:lang w:val="es-CO" w:eastAsia="es-CO"/>
        </w:rPr>
      </w:pPr>
    </w:p>
    <w:p w14:paraId="25D212C4" w14:textId="77777777" w:rsidR="00B71FFF" w:rsidRPr="009F626A" w:rsidRDefault="00B71FFF" w:rsidP="009F626A">
      <w:pPr>
        <w:numPr>
          <w:ilvl w:val="0"/>
          <w:numId w:val="7"/>
        </w:numPr>
        <w:spacing w:after="0"/>
        <w:contextualSpacing/>
        <w:jc w:val="both"/>
        <w:rPr>
          <w:rFonts w:ascii="Arial" w:eastAsia="Times New Roman" w:hAnsi="Arial" w:cs="Arial"/>
          <w:sz w:val="20"/>
          <w:szCs w:val="20"/>
          <w:lang w:val="es-CO" w:eastAsia="es-ES"/>
        </w:rPr>
      </w:pPr>
      <w:r w:rsidRPr="006921AA">
        <w:rPr>
          <w:rFonts w:ascii="Arial" w:eastAsia="Times New Roman" w:hAnsi="Arial" w:cs="Arial"/>
          <w:sz w:val="20"/>
          <w:szCs w:val="20"/>
          <w:lang w:eastAsia="es-ES"/>
        </w:rPr>
        <w:t>Prevención y atención a la poblaci</w:t>
      </w:r>
      <w:r w:rsidR="009F626A">
        <w:rPr>
          <w:rFonts w:ascii="Arial" w:eastAsia="Times New Roman" w:hAnsi="Arial" w:cs="Arial"/>
          <w:sz w:val="20"/>
          <w:szCs w:val="20"/>
          <w:lang w:eastAsia="es-ES"/>
        </w:rPr>
        <w:t>ón desplazada a nivel nacional:</w:t>
      </w:r>
      <w:r w:rsidR="009F626A">
        <w:rPr>
          <w:rFonts w:ascii="Arial" w:eastAsia="Times New Roman" w:hAnsi="Arial" w:cs="Arial"/>
          <w:sz w:val="20"/>
          <w:szCs w:val="20"/>
          <w:lang w:val="es-CO" w:eastAsia="es-ES"/>
        </w:rPr>
        <w:t xml:space="preserve"> </w:t>
      </w:r>
      <w:r w:rsidRPr="009F626A">
        <w:rPr>
          <w:rFonts w:ascii="Arial" w:eastAsia="Times New Roman" w:hAnsi="Arial" w:cs="Arial"/>
          <w:sz w:val="20"/>
          <w:szCs w:val="20"/>
          <w:lang w:eastAsia="es-ES"/>
        </w:rPr>
        <w:t>Apropiación vige</w:t>
      </w:r>
      <w:r w:rsidR="009F626A">
        <w:rPr>
          <w:rFonts w:ascii="Arial" w:eastAsia="Times New Roman" w:hAnsi="Arial" w:cs="Arial"/>
          <w:sz w:val="20"/>
          <w:szCs w:val="20"/>
          <w:lang w:eastAsia="es-ES"/>
        </w:rPr>
        <w:t xml:space="preserve">nte </w:t>
      </w:r>
      <w:r w:rsidRPr="009F626A">
        <w:rPr>
          <w:rFonts w:ascii="Arial" w:eastAsia="Times New Roman" w:hAnsi="Arial" w:cs="Arial"/>
          <w:sz w:val="20"/>
          <w:szCs w:val="20"/>
          <w:lang w:eastAsia="es-ES"/>
        </w:rPr>
        <w:t>$6.819.000.000</w:t>
      </w:r>
    </w:p>
    <w:p w14:paraId="0726A9F2" w14:textId="77777777" w:rsidR="00B71FFF" w:rsidRPr="00B71FFF" w:rsidRDefault="00B71FFF" w:rsidP="00B71FFF">
      <w:pPr>
        <w:spacing w:after="0"/>
        <w:jc w:val="both"/>
        <w:rPr>
          <w:rFonts w:ascii="Arial" w:eastAsia="Times New Roman" w:hAnsi="Arial" w:cs="Arial"/>
          <w:sz w:val="20"/>
          <w:szCs w:val="20"/>
          <w:lang w:val="es-CO" w:eastAsia="es-ES"/>
        </w:rPr>
      </w:pPr>
    </w:p>
    <w:p w14:paraId="715259FD" w14:textId="77777777" w:rsidR="00B71FFF" w:rsidRPr="00B71FFF" w:rsidRDefault="00B71FFF" w:rsidP="00B71FFF">
      <w:pPr>
        <w:spacing w:after="0"/>
        <w:jc w:val="both"/>
        <w:rPr>
          <w:rFonts w:ascii="Arial" w:eastAsia="Times New Roman" w:hAnsi="Arial" w:cs="Arial"/>
          <w:sz w:val="20"/>
          <w:szCs w:val="20"/>
          <w:lang w:val="es-CO" w:eastAsia="es-ES"/>
        </w:rPr>
      </w:pPr>
      <w:r w:rsidRPr="00B71FFF">
        <w:rPr>
          <w:rFonts w:eastAsia="Cambria"/>
          <w:noProof/>
          <w:sz w:val="20"/>
          <w:szCs w:val="20"/>
          <w:lang w:eastAsia="es-ES"/>
        </w:rPr>
        <w:drawing>
          <wp:inline distT="0" distB="0" distL="0" distR="0" wp14:anchorId="1C65A4FA" wp14:editId="52BB7545">
            <wp:extent cx="5753100" cy="70485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015362" cy="736981"/>
                    </a:xfrm>
                    <a:prstGeom prst="rect">
                      <a:avLst/>
                    </a:prstGeom>
                    <a:noFill/>
                    <a:ln>
                      <a:noFill/>
                    </a:ln>
                  </pic:spPr>
                </pic:pic>
              </a:graphicData>
            </a:graphic>
          </wp:inline>
        </w:drawing>
      </w:r>
    </w:p>
    <w:p w14:paraId="7F533E23" w14:textId="77777777" w:rsidR="004D028B" w:rsidRPr="004D028B" w:rsidRDefault="004D028B" w:rsidP="004D028B">
      <w:pPr>
        <w:tabs>
          <w:tab w:val="left" w:pos="910"/>
        </w:tabs>
        <w:spacing w:after="0" w:line="259" w:lineRule="auto"/>
        <w:rPr>
          <w:rFonts w:ascii="Arial" w:eastAsia="Times New Roman" w:hAnsi="Arial" w:cs="Arial"/>
          <w:sz w:val="10"/>
          <w:szCs w:val="20"/>
          <w:lang w:eastAsia="es-ES"/>
        </w:rPr>
      </w:pPr>
      <w:r w:rsidRPr="004D028B">
        <w:rPr>
          <w:rFonts w:ascii="Arial" w:eastAsia="Times New Roman" w:hAnsi="Arial" w:cs="Arial"/>
          <w:sz w:val="10"/>
          <w:szCs w:val="20"/>
          <w:lang w:eastAsia="es-ES"/>
        </w:rPr>
        <w:t xml:space="preserve">Fuente: Matriz Ejecución Presupuestal </w:t>
      </w:r>
      <w:r w:rsidR="00A751CC">
        <w:rPr>
          <w:rFonts w:ascii="Arial" w:eastAsia="Times New Roman" w:hAnsi="Arial" w:cs="Arial"/>
          <w:sz w:val="10"/>
          <w:szCs w:val="20"/>
          <w:lang w:eastAsia="es-ES"/>
        </w:rPr>
        <w:t>junio</w:t>
      </w:r>
      <w:r>
        <w:rPr>
          <w:rFonts w:ascii="Arial" w:eastAsia="Times New Roman" w:hAnsi="Arial" w:cs="Arial"/>
          <w:sz w:val="10"/>
          <w:szCs w:val="20"/>
          <w:lang w:eastAsia="es-ES"/>
        </w:rPr>
        <w:t xml:space="preserve"> 2018 </w:t>
      </w:r>
      <w:r w:rsidRPr="004D028B">
        <w:rPr>
          <w:rFonts w:ascii="Arial" w:eastAsia="Times New Roman" w:hAnsi="Arial" w:cs="Arial"/>
          <w:sz w:val="10"/>
          <w:szCs w:val="20"/>
          <w:lang w:eastAsia="es-ES"/>
        </w:rPr>
        <w:t xml:space="preserve">TOTORO </w:t>
      </w:r>
      <w:r w:rsidR="00A751CC">
        <w:rPr>
          <w:rFonts w:ascii="Arial" w:eastAsia="Times New Roman" w:hAnsi="Arial" w:cs="Arial"/>
          <w:sz w:val="10"/>
          <w:szCs w:val="20"/>
          <w:lang w:eastAsia="es-ES"/>
        </w:rPr>
        <w:t>(Ejecución agregada acumulada a junio de 2018)</w:t>
      </w:r>
    </w:p>
    <w:p w14:paraId="51DEE2E1" w14:textId="77777777" w:rsidR="00F26454" w:rsidRDefault="00F26454" w:rsidP="00B71FFF">
      <w:pPr>
        <w:spacing w:after="0"/>
        <w:jc w:val="both"/>
        <w:rPr>
          <w:rFonts w:ascii="Arial" w:eastAsia="Times New Roman" w:hAnsi="Arial" w:cs="Arial"/>
          <w:sz w:val="20"/>
          <w:szCs w:val="20"/>
          <w:lang w:val="es-CO" w:eastAsia="es-ES"/>
        </w:rPr>
      </w:pPr>
    </w:p>
    <w:p w14:paraId="6EB2C02E" w14:textId="77777777" w:rsidR="00B71FFF" w:rsidRPr="00B71FFF" w:rsidRDefault="00B71FFF" w:rsidP="00B71FFF">
      <w:pPr>
        <w:spacing w:after="0"/>
        <w:jc w:val="both"/>
        <w:rPr>
          <w:rFonts w:ascii="Arial" w:eastAsia="Times New Roman" w:hAnsi="Arial" w:cs="Arial"/>
          <w:sz w:val="20"/>
          <w:szCs w:val="20"/>
          <w:lang w:val="es-CO" w:eastAsia="es-ES"/>
        </w:rPr>
      </w:pPr>
      <w:r w:rsidRPr="00B71FFF">
        <w:rPr>
          <w:rFonts w:ascii="Arial" w:eastAsia="Times New Roman" w:hAnsi="Arial" w:cs="Arial"/>
          <w:sz w:val="20"/>
          <w:szCs w:val="20"/>
          <w:lang w:val="es-CO" w:eastAsia="es-ES"/>
        </w:rPr>
        <w:lastRenderedPageBreak/>
        <w:t>Cumplido el primer semestre de la vigencia 2018, este Proyecto de Inversión presenta un avance acumulado del 99,99% en compromisos y 43,6% tanto en obligaciones como en pagos respecto a las apropiaciones vigentes.</w:t>
      </w:r>
    </w:p>
    <w:p w14:paraId="05D94817" w14:textId="77777777" w:rsidR="00B71FFF" w:rsidRPr="00B71FFF" w:rsidRDefault="00B71FFF" w:rsidP="00E05EDB">
      <w:pPr>
        <w:spacing w:after="0"/>
        <w:jc w:val="both"/>
        <w:rPr>
          <w:rFonts w:ascii="Arial" w:eastAsia="Times New Roman" w:hAnsi="Arial" w:cs="Arial"/>
          <w:sz w:val="20"/>
          <w:szCs w:val="20"/>
          <w:lang w:val="es-CO" w:eastAsia="es-ES"/>
        </w:rPr>
      </w:pPr>
      <w:r w:rsidRPr="00B71FFF">
        <w:rPr>
          <w:rFonts w:ascii="Arial" w:eastAsia="Times New Roman" w:hAnsi="Arial" w:cs="Arial"/>
          <w:sz w:val="20"/>
          <w:szCs w:val="20"/>
          <w:lang w:val="es-CO" w:eastAsia="es-ES"/>
        </w:rPr>
        <w:t xml:space="preserve">Según el reporte que aparece registrado en el esquema financiero del sistema de seguimiento a proyectos de inversión (SPI) del DNP, este proyecto presenta los siguientes avances: Financiero 43,55%; físico 24% y gestión 75,50%.  </w:t>
      </w:r>
    </w:p>
    <w:p w14:paraId="7BAF3D1E" w14:textId="77777777" w:rsidR="00B71FFF" w:rsidRPr="00B71FFF" w:rsidRDefault="00B71FFF" w:rsidP="00B71FFF">
      <w:pPr>
        <w:spacing w:after="0"/>
        <w:jc w:val="both"/>
        <w:rPr>
          <w:rFonts w:ascii="Arial" w:eastAsia="Times New Roman" w:hAnsi="Arial" w:cs="Arial"/>
          <w:sz w:val="20"/>
          <w:szCs w:val="20"/>
          <w:lang w:val="es-CO" w:eastAsia="es-ES"/>
        </w:rPr>
      </w:pPr>
    </w:p>
    <w:p w14:paraId="0CC8B2E5" w14:textId="77777777" w:rsidR="00B71FFF" w:rsidRPr="009F626A" w:rsidRDefault="00B71FFF" w:rsidP="009F626A">
      <w:pPr>
        <w:numPr>
          <w:ilvl w:val="0"/>
          <w:numId w:val="7"/>
        </w:numPr>
        <w:tabs>
          <w:tab w:val="left" w:pos="910"/>
        </w:tabs>
        <w:spacing w:after="0"/>
        <w:contextualSpacing/>
        <w:jc w:val="both"/>
        <w:rPr>
          <w:rFonts w:ascii="Arial" w:eastAsia="Calibri" w:hAnsi="Arial" w:cs="Arial"/>
          <w:sz w:val="20"/>
          <w:szCs w:val="20"/>
          <w:lang w:val="es-CO" w:eastAsia="es-CO"/>
        </w:rPr>
      </w:pPr>
      <w:r w:rsidRPr="006921AA">
        <w:rPr>
          <w:rFonts w:ascii="Arial" w:eastAsia="Calibri" w:hAnsi="Arial" w:cs="Arial"/>
          <w:sz w:val="20"/>
          <w:szCs w:val="20"/>
          <w:lang w:val="es-CO" w:eastAsia="es-CO"/>
        </w:rPr>
        <w:t xml:space="preserve">Asistencia y atención integral </w:t>
      </w:r>
      <w:r w:rsidR="009F626A">
        <w:rPr>
          <w:rFonts w:ascii="Arial" w:eastAsia="Calibri" w:hAnsi="Arial" w:cs="Arial"/>
          <w:sz w:val="20"/>
          <w:szCs w:val="20"/>
          <w:lang w:val="es-CO" w:eastAsia="es-CO"/>
        </w:rPr>
        <w:t xml:space="preserve">a las víctimas a nivel nacional: </w:t>
      </w:r>
      <w:r w:rsidRPr="009F626A">
        <w:rPr>
          <w:rFonts w:ascii="Arial" w:eastAsia="Calibri" w:hAnsi="Arial" w:cs="Arial"/>
          <w:sz w:val="20"/>
          <w:szCs w:val="20"/>
          <w:lang w:val="es-CO" w:eastAsia="es-CO"/>
        </w:rPr>
        <w:t>Apropiación vigente $2.500.000.000</w:t>
      </w:r>
    </w:p>
    <w:p w14:paraId="0A83AC93" w14:textId="77777777" w:rsidR="00B71FFF" w:rsidRPr="00B71FFF" w:rsidRDefault="00B71FFF" w:rsidP="00B71FFF">
      <w:pPr>
        <w:tabs>
          <w:tab w:val="left" w:pos="910"/>
        </w:tabs>
        <w:spacing w:after="0"/>
        <w:jc w:val="both"/>
        <w:rPr>
          <w:rFonts w:ascii="Arial" w:eastAsia="Times New Roman" w:hAnsi="Arial" w:cs="Arial"/>
          <w:sz w:val="20"/>
          <w:szCs w:val="20"/>
          <w:lang w:eastAsia="es-ES"/>
        </w:rPr>
      </w:pPr>
    </w:p>
    <w:p w14:paraId="78802B69" w14:textId="77777777" w:rsidR="00B71FFF" w:rsidRPr="00B71FFF" w:rsidRDefault="00B71FFF" w:rsidP="00B71FFF">
      <w:pPr>
        <w:tabs>
          <w:tab w:val="left" w:pos="910"/>
        </w:tabs>
        <w:spacing w:after="0"/>
        <w:jc w:val="both"/>
        <w:rPr>
          <w:rFonts w:ascii="Arial" w:eastAsia="Times New Roman" w:hAnsi="Arial" w:cs="Arial"/>
          <w:sz w:val="20"/>
          <w:szCs w:val="20"/>
          <w:lang w:eastAsia="es-ES"/>
        </w:rPr>
      </w:pPr>
      <w:r w:rsidRPr="00B71FFF">
        <w:rPr>
          <w:rFonts w:eastAsia="Cambria"/>
          <w:noProof/>
          <w:sz w:val="20"/>
          <w:szCs w:val="20"/>
          <w:lang w:eastAsia="es-ES"/>
        </w:rPr>
        <w:drawing>
          <wp:inline distT="0" distB="0" distL="0" distR="0" wp14:anchorId="1FABC414" wp14:editId="44337197">
            <wp:extent cx="5667375" cy="638175"/>
            <wp:effectExtent l="0" t="0" r="9525"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837048" cy="657281"/>
                    </a:xfrm>
                    <a:prstGeom prst="rect">
                      <a:avLst/>
                    </a:prstGeom>
                    <a:noFill/>
                    <a:ln>
                      <a:noFill/>
                    </a:ln>
                  </pic:spPr>
                </pic:pic>
              </a:graphicData>
            </a:graphic>
          </wp:inline>
        </w:drawing>
      </w:r>
    </w:p>
    <w:p w14:paraId="2A6806D8" w14:textId="5AC5EDAF" w:rsidR="00B71FFF" w:rsidRDefault="004D028B" w:rsidP="00CB7B63">
      <w:pPr>
        <w:tabs>
          <w:tab w:val="left" w:pos="910"/>
        </w:tabs>
        <w:spacing w:after="0" w:line="259" w:lineRule="auto"/>
        <w:rPr>
          <w:rFonts w:ascii="Arial" w:eastAsia="Times New Roman" w:hAnsi="Arial" w:cs="Arial"/>
          <w:sz w:val="10"/>
          <w:szCs w:val="20"/>
          <w:lang w:eastAsia="es-ES"/>
        </w:rPr>
      </w:pPr>
      <w:r w:rsidRPr="004D028B">
        <w:rPr>
          <w:rFonts w:ascii="Arial" w:eastAsia="Times New Roman" w:hAnsi="Arial" w:cs="Arial"/>
          <w:sz w:val="10"/>
          <w:szCs w:val="20"/>
          <w:lang w:eastAsia="es-ES"/>
        </w:rPr>
        <w:t xml:space="preserve">Fuente: Matriz Ejecución Presupuestal </w:t>
      </w:r>
      <w:proofErr w:type="gramStart"/>
      <w:r>
        <w:rPr>
          <w:rFonts w:ascii="Arial" w:eastAsia="Times New Roman" w:hAnsi="Arial" w:cs="Arial"/>
          <w:sz w:val="10"/>
          <w:szCs w:val="20"/>
          <w:lang w:eastAsia="es-ES"/>
        </w:rPr>
        <w:t>Junio</w:t>
      </w:r>
      <w:proofErr w:type="gramEnd"/>
      <w:r>
        <w:rPr>
          <w:rFonts w:ascii="Arial" w:eastAsia="Times New Roman" w:hAnsi="Arial" w:cs="Arial"/>
          <w:sz w:val="10"/>
          <w:szCs w:val="20"/>
          <w:lang w:eastAsia="es-ES"/>
        </w:rPr>
        <w:t xml:space="preserve"> 2018 </w:t>
      </w:r>
      <w:r w:rsidR="00CB7B63">
        <w:rPr>
          <w:rFonts w:ascii="Arial" w:eastAsia="Times New Roman" w:hAnsi="Arial" w:cs="Arial"/>
          <w:sz w:val="10"/>
          <w:szCs w:val="20"/>
          <w:lang w:eastAsia="es-ES"/>
        </w:rPr>
        <w:t xml:space="preserve">TOTORO </w:t>
      </w:r>
    </w:p>
    <w:p w14:paraId="763C32DB" w14:textId="77777777" w:rsidR="00CB7B63" w:rsidRPr="00CB7B63" w:rsidRDefault="00CB7B63" w:rsidP="00CB7B63">
      <w:pPr>
        <w:tabs>
          <w:tab w:val="left" w:pos="910"/>
        </w:tabs>
        <w:spacing w:after="0" w:line="259" w:lineRule="auto"/>
        <w:rPr>
          <w:rFonts w:ascii="Arial" w:eastAsia="Times New Roman" w:hAnsi="Arial" w:cs="Arial"/>
          <w:sz w:val="10"/>
          <w:szCs w:val="20"/>
          <w:lang w:eastAsia="es-ES"/>
        </w:rPr>
      </w:pPr>
    </w:p>
    <w:p w14:paraId="73DB55D2" w14:textId="77777777" w:rsidR="00B71FFF" w:rsidRPr="00B71FFF" w:rsidRDefault="00B71FFF" w:rsidP="00E05EDB">
      <w:pPr>
        <w:tabs>
          <w:tab w:val="left" w:pos="910"/>
        </w:tabs>
        <w:spacing w:after="0"/>
        <w:jc w:val="both"/>
        <w:rPr>
          <w:rFonts w:ascii="Arial" w:eastAsia="Times New Roman" w:hAnsi="Arial" w:cs="Arial"/>
          <w:b/>
          <w:sz w:val="20"/>
          <w:szCs w:val="20"/>
          <w:lang w:eastAsia="es-ES"/>
        </w:rPr>
      </w:pPr>
      <w:r w:rsidRPr="00B71FFF">
        <w:rPr>
          <w:rFonts w:ascii="Arial" w:eastAsia="Times New Roman" w:hAnsi="Arial" w:cs="Arial"/>
          <w:sz w:val="20"/>
          <w:szCs w:val="20"/>
          <w:lang w:eastAsia="es-ES"/>
        </w:rPr>
        <w:t xml:space="preserve">Este proyecto registra un cumplimiento del 100% en compromisos, obligaciones y pagos a 30 de junio de 2018. </w:t>
      </w:r>
    </w:p>
    <w:p w14:paraId="407852D3" w14:textId="77777777" w:rsidR="00B71FFF" w:rsidRPr="00B71FFF" w:rsidRDefault="00B71FFF" w:rsidP="00E05EDB">
      <w:pPr>
        <w:spacing w:after="0"/>
        <w:jc w:val="both"/>
        <w:rPr>
          <w:rFonts w:ascii="Arial" w:eastAsia="Times New Roman" w:hAnsi="Arial" w:cs="Arial"/>
          <w:sz w:val="20"/>
          <w:szCs w:val="20"/>
          <w:lang w:val="es-CO" w:eastAsia="es-ES"/>
        </w:rPr>
      </w:pPr>
    </w:p>
    <w:p w14:paraId="630E341A" w14:textId="77777777" w:rsidR="00B71FFF" w:rsidRPr="00B71FFF" w:rsidRDefault="00B71FFF" w:rsidP="00E05EDB">
      <w:pPr>
        <w:spacing w:after="0"/>
        <w:jc w:val="both"/>
        <w:rPr>
          <w:rFonts w:ascii="Arial" w:eastAsia="Times New Roman" w:hAnsi="Arial" w:cs="Arial"/>
          <w:sz w:val="20"/>
          <w:szCs w:val="20"/>
          <w:lang w:val="es-CO" w:eastAsia="es-ES"/>
        </w:rPr>
      </w:pPr>
      <w:r w:rsidRPr="00B71FFF">
        <w:rPr>
          <w:rFonts w:ascii="Arial" w:eastAsia="Times New Roman" w:hAnsi="Arial" w:cs="Arial"/>
          <w:sz w:val="20"/>
          <w:szCs w:val="20"/>
          <w:lang w:val="es-CO" w:eastAsia="es-ES"/>
        </w:rPr>
        <w:t>Según el reporte registrado en el esquema financiero del sistema de seguimiento a proyectos de inversión (SPI) del DNP, presenta los siguientes avances: Financiero 100%; físico 63% y gestión 64%.</w:t>
      </w:r>
    </w:p>
    <w:p w14:paraId="32F1C647" w14:textId="77777777" w:rsidR="00B71FFF" w:rsidRPr="00B71FFF" w:rsidRDefault="00B71FFF" w:rsidP="00B71FFF">
      <w:pPr>
        <w:spacing w:after="0"/>
        <w:jc w:val="both"/>
        <w:rPr>
          <w:rFonts w:ascii="Arial" w:eastAsia="Times New Roman" w:hAnsi="Arial" w:cs="Arial"/>
          <w:sz w:val="20"/>
          <w:szCs w:val="20"/>
          <w:lang w:val="es-CO" w:eastAsia="es-ES"/>
        </w:rPr>
      </w:pPr>
      <w:r w:rsidRPr="00B71FFF">
        <w:rPr>
          <w:rFonts w:ascii="Arial" w:eastAsia="Times New Roman" w:hAnsi="Arial" w:cs="Arial"/>
          <w:sz w:val="20"/>
          <w:szCs w:val="20"/>
          <w:lang w:val="es-CO" w:eastAsia="es-ES"/>
        </w:rPr>
        <w:t xml:space="preserve">  </w:t>
      </w:r>
    </w:p>
    <w:p w14:paraId="00505CCD" w14:textId="77777777" w:rsidR="00B71FFF" w:rsidRPr="00A751CC" w:rsidRDefault="00B71FFF" w:rsidP="00A751CC">
      <w:pPr>
        <w:numPr>
          <w:ilvl w:val="0"/>
          <w:numId w:val="7"/>
        </w:numPr>
        <w:tabs>
          <w:tab w:val="left" w:pos="910"/>
        </w:tabs>
        <w:spacing w:after="0"/>
        <w:contextualSpacing/>
        <w:jc w:val="both"/>
        <w:rPr>
          <w:rFonts w:ascii="Arial" w:eastAsia="Calibri" w:hAnsi="Arial" w:cs="Arial"/>
          <w:sz w:val="20"/>
          <w:szCs w:val="20"/>
          <w:lang w:val="es-CO" w:eastAsia="es-CO"/>
        </w:rPr>
      </w:pPr>
      <w:r w:rsidRPr="006921AA">
        <w:rPr>
          <w:rFonts w:ascii="Arial" w:eastAsia="Calibri" w:hAnsi="Arial" w:cs="Arial"/>
          <w:sz w:val="20"/>
          <w:szCs w:val="20"/>
          <w:lang w:val="es-CO" w:eastAsia="es-CO"/>
        </w:rPr>
        <w:t>Apoyo a entidades territoriales a través de la cofinanciación para la asistencia, atención y reparación integral a las víctimas del desplaza</w:t>
      </w:r>
      <w:r w:rsidR="00A751CC">
        <w:rPr>
          <w:rFonts w:ascii="Arial" w:eastAsia="Calibri" w:hAnsi="Arial" w:cs="Arial"/>
          <w:sz w:val="20"/>
          <w:szCs w:val="20"/>
          <w:lang w:val="es-CO" w:eastAsia="es-CO"/>
        </w:rPr>
        <w:t xml:space="preserve">miento forzado a nivel nacional: Apropiación vigente </w:t>
      </w:r>
      <w:r w:rsidRPr="00A751CC">
        <w:rPr>
          <w:rFonts w:ascii="Arial" w:eastAsia="Calibri" w:hAnsi="Arial" w:cs="Arial"/>
          <w:sz w:val="20"/>
          <w:szCs w:val="20"/>
          <w:lang w:val="es-CO" w:eastAsia="es-CO"/>
        </w:rPr>
        <w:t>$40.000.000.000</w:t>
      </w:r>
    </w:p>
    <w:p w14:paraId="2604D122" w14:textId="77777777" w:rsidR="00B71FFF" w:rsidRPr="00B71FFF" w:rsidRDefault="00B71FFF" w:rsidP="00B71FFF">
      <w:pPr>
        <w:tabs>
          <w:tab w:val="left" w:pos="910"/>
        </w:tabs>
        <w:spacing w:after="0"/>
        <w:ind w:left="910" w:hanging="190"/>
        <w:contextualSpacing/>
        <w:jc w:val="both"/>
        <w:rPr>
          <w:rFonts w:ascii="Arial" w:eastAsia="Calibri" w:hAnsi="Arial" w:cs="Arial"/>
          <w:sz w:val="20"/>
          <w:szCs w:val="20"/>
          <w:lang w:val="es-CO" w:eastAsia="es-CO"/>
        </w:rPr>
      </w:pPr>
    </w:p>
    <w:p w14:paraId="21D7C2B9" w14:textId="77777777" w:rsidR="00B71FFF" w:rsidRPr="00B71FFF" w:rsidRDefault="00B71FFF" w:rsidP="00B71FFF">
      <w:pPr>
        <w:tabs>
          <w:tab w:val="left" w:pos="910"/>
        </w:tabs>
        <w:spacing w:after="0"/>
        <w:jc w:val="both"/>
        <w:rPr>
          <w:rFonts w:ascii="Arial" w:eastAsia="Calibri" w:hAnsi="Arial" w:cs="Arial"/>
          <w:sz w:val="20"/>
          <w:szCs w:val="20"/>
          <w:lang w:val="es-CO" w:eastAsia="es-CO"/>
        </w:rPr>
      </w:pPr>
      <w:r w:rsidRPr="00B71FFF">
        <w:rPr>
          <w:rFonts w:eastAsia="Cambria"/>
          <w:noProof/>
          <w:sz w:val="20"/>
          <w:szCs w:val="20"/>
          <w:lang w:eastAsia="es-ES"/>
        </w:rPr>
        <w:drawing>
          <wp:inline distT="0" distB="0" distL="0" distR="0" wp14:anchorId="2F891C4D" wp14:editId="6DBF1EBD">
            <wp:extent cx="5581650" cy="723900"/>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685737" cy="737399"/>
                    </a:xfrm>
                    <a:prstGeom prst="rect">
                      <a:avLst/>
                    </a:prstGeom>
                    <a:noFill/>
                    <a:ln>
                      <a:noFill/>
                    </a:ln>
                  </pic:spPr>
                </pic:pic>
              </a:graphicData>
            </a:graphic>
          </wp:inline>
        </w:drawing>
      </w:r>
    </w:p>
    <w:p w14:paraId="36AE3D97" w14:textId="589B40B2" w:rsidR="00B71FFF" w:rsidRPr="00CB7B63" w:rsidRDefault="004D028B" w:rsidP="00CB7B63">
      <w:pPr>
        <w:tabs>
          <w:tab w:val="left" w:pos="910"/>
        </w:tabs>
        <w:spacing w:after="0" w:line="259" w:lineRule="auto"/>
        <w:rPr>
          <w:rFonts w:ascii="Arial" w:eastAsia="Times New Roman" w:hAnsi="Arial" w:cs="Arial"/>
          <w:sz w:val="10"/>
          <w:szCs w:val="20"/>
          <w:lang w:eastAsia="es-ES"/>
        </w:rPr>
      </w:pPr>
      <w:r w:rsidRPr="004D028B">
        <w:rPr>
          <w:rFonts w:ascii="Arial" w:eastAsia="Times New Roman" w:hAnsi="Arial" w:cs="Arial"/>
          <w:sz w:val="10"/>
          <w:szCs w:val="20"/>
          <w:lang w:eastAsia="es-ES"/>
        </w:rPr>
        <w:t xml:space="preserve">Fuente: Matriz Ejecución Presupuestal </w:t>
      </w:r>
      <w:proofErr w:type="gramStart"/>
      <w:r>
        <w:rPr>
          <w:rFonts w:ascii="Arial" w:eastAsia="Times New Roman" w:hAnsi="Arial" w:cs="Arial"/>
          <w:sz w:val="10"/>
          <w:szCs w:val="20"/>
          <w:lang w:eastAsia="es-ES"/>
        </w:rPr>
        <w:t>Junio</w:t>
      </w:r>
      <w:proofErr w:type="gramEnd"/>
      <w:r>
        <w:rPr>
          <w:rFonts w:ascii="Arial" w:eastAsia="Times New Roman" w:hAnsi="Arial" w:cs="Arial"/>
          <w:sz w:val="10"/>
          <w:szCs w:val="20"/>
          <w:lang w:eastAsia="es-ES"/>
        </w:rPr>
        <w:t xml:space="preserve"> 2018 </w:t>
      </w:r>
      <w:r w:rsidR="00CB7B63">
        <w:rPr>
          <w:rFonts w:ascii="Arial" w:eastAsia="Times New Roman" w:hAnsi="Arial" w:cs="Arial"/>
          <w:sz w:val="10"/>
          <w:szCs w:val="20"/>
          <w:lang w:eastAsia="es-ES"/>
        </w:rPr>
        <w:t xml:space="preserve">TOTORO </w:t>
      </w:r>
    </w:p>
    <w:p w14:paraId="499E70D7" w14:textId="77777777" w:rsidR="00CB7B63" w:rsidRDefault="00CB7B63" w:rsidP="00B71FFF">
      <w:pPr>
        <w:tabs>
          <w:tab w:val="left" w:pos="910"/>
        </w:tabs>
        <w:spacing w:after="0"/>
        <w:jc w:val="both"/>
        <w:rPr>
          <w:rFonts w:ascii="Arial" w:eastAsia="Times New Roman" w:hAnsi="Arial" w:cs="Arial"/>
          <w:sz w:val="20"/>
          <w:szCs w:val="20"/>
          <w:lang w:eastAsia="es-ES"/>
        </w:rPr>
      </w:pPr>
    </w:p>
    <w:p w14:paraId="557D9349" w14:textId="570DDB2F" w:rsidR="00B71FFF" w:rsidRPr="00B71FFF" w:rsidRDefault="00B71FFF" w:rsidP="00B71FFF">
      <w:pPr>
        <w:tabs>
          <w:tab w:val="left" w:pos="910"/>
        </w:tabs>
        <w:spacing w:after="0"/>
        <w:jc w:val="both"/>
        <w:rPr>
          <w:rFonts w:ascii="Arial" w:eastAsia="Times New Roman" w:hAnsi="Arial" w:cs="Arial"/>
          <w:sz w:val="20"/>
          <w:szCs w:val="20"/>
          <w:lang w:eastAsia="es-ES"/>
        </w:rPr>
      </w:pPr>
      <w:r w:rsidRPr="00B71FFF">
        <w:rPr>
          <w:rFonts w:ascii="Arial" w:eastAsia="Times New Roman" w:hAnsi="Arial" w:cs="Arial"/>
          <w:sz w:val="20"/>
          <w:szCs w:val="20"/>
          <w:lang w:eastAsia="es-ES"/>
        </w:rPr>
        <w:t xml:space="preserve">En este proyecto de inversión se registra </w:t>
      </w:r>
      <w:r w:rsidRPr="00B71FFF">
        <w:rPr>
          <w:rFonts w:ascii="Arial" w:eastAsia="Calibri" w:hAnsi="Arial" w:cs="Arial"/>
          <w:sz w:val="20"/>
          <w:szCs w:val="20"/>
          <w:lang w:val="es-CO" w:eastAsia="es-CO"/>
        </w:rPr>
        <w:t>un avance acumulado al primer semestre de 2018, del 40,08% en compromisos y 11,9% en obligaciones y pagos respecto a las apropiaciones vigentes. Están pendiente por comprometer $23.966.059.138.</w:t>
      </w:r>
    </w:p>
    <w:p w14:paraId="4D8831A8" w14:textId="77777777" w:rsidR="00B71FFF" w:rsidRPr="00B71FFF" w:rsidRDefault="00B71FFF" w:rsidP="00B71FFF">
      <w:pPr>
        <w:spacing w:after="0"/>
        <w:ind w:left="284"/>
        <w:jc w:val="both"/>
        <w:rPr>
          <w:rFonts w:ascii="Arial" w:eastAsia="Times New Roman" w:hAnsi="Arial" w:cs="Arial"/>
          <w:b/>
          <w:sz w:val="20"/>
          <w:szCs w:val="20"/>
          <w:lang w:val="es-CO" w:eastAsia="es-ES"/>
        </w:rPr>
      </w:pPr>
    </w:p>
    <w:p w14:paraId="7CE5E793" w14:textId="77777777" w:rsidR="00B71FFF" w:rsidRPr="00B71FFF" w:rsidRDefault="00B71FFF" w:rsidP="00B71FFF">
      <w:pPr>
        <w:spacing w:after="0"/>
        <w:jc w:val="both"/>
        <w:rPr>
          <w:rFonts w:ascii="Arial" w:eastAsia="Times New Roman" w:hAnsi="Arial" w:cs="Arial"/>
          <w:sz w:val="20"/>
          <w:szCs w:val="20"/>
          <w:lang w:val="es-CO" w:eastAsia="es-ES"/>
        </w:rPr>
      </w:pPr>
      <w:r w:rsidRPr="00B71FFF">
        <w:rPr>
          <w:rFonts w:ascii="Arial" w:eastAsia="Times New Roman" w:hAnsi="Arial" w:cs="Arial"/>
          <w:sz w:val="20"/>
          <w:szCs w:val="20"/>
          <w:lang w:val="es-CO" w:eastAsia="es-ES"/>
        </w:rPr>
        <w:t xml:space="preserve">Según el reporte descrito en el esquema financiero del sistema de seguimiento a proyectos de inversión (SPI) del DNP, el proyecto presenta los siguientes avances: Financiero 11,91%; físico 39% y gestión 2,80%.  </w:t>
      </w:r>
    </w:p>
    <w:p w14:paraId="1AF1E1AC" w14:textId="77777777" w:rsidR="00B71FFF" w:rsidRPr="00B71FFF" w:rsidRDefault="00B71FFF" w:rsidP="00B71FFF">
      <w:pPr>
        <w:spacing w:after="0"/>
        <w:jc w:val="both"/>
        <w:rPr>
          <w:rFonts w:ascii="Arial" w:eastAsia="Times New Roman" w:hAnsi="Arial" w:cs="Arial"/>
          <w:sz w:val="20"/>
          <w:szCs w:val="20"/>
          <w:lang w:val="es-CO" w:eastAsia="es-ES"/>
        </w:rPr>
      </w:pPr>
      <w:r w:rsidRPr="00B71FFF">
        <w:rPr>
          <w:rFonts w:ascii="Arial" w:eastAsia="Times New Roman" w:hAnsi="Arial" w:cs="Arial"/>
          <w:sz w:val="20"/>
          <w:szCs w:val="20"/>
          <w:lang w:val="es-CO" w:eastAsia="es-ES"/>
        </w:rPr>
        <w:t>Dado lo anterior, la OCI alerta a la dependencia responsable de este proyecto, ante una baja ejecución del 12% en obligaciones.</w:t>
      </w:r>
    </w:p>
    <w:p w14:paraId="4C6B5348" w14:textId="77777777" w:rsidR="00B71FFF" w:rsidRPr="00B71FFF" w:rsidRDefault="00B71FFF" w:rsidP="00B71FFF">
      <w:pPr>
        <w:tabs>
          <w:tab w:val="left" w:pos="910"/>
        </w:tabs>
        <w:spacing w:after="0"/>
        <w:jc w:val="both"/>
        <w:rPr>
          <w:rFonts w:ascii="Arial" w:eastAsia="Times New Roman" w:hAnsi="Arial" w:cs="Arial"/>
          <w:sz w:val="20"/>
          <w:szCs w:val="20"/>
          <w:lang w:val="es-CO" w:eastAsia="es-ES"/>
        </w:rPr>
      </w:pPr>
    </w:p>
    <w:p w14:paraId="4C66DC27" w14:textId="77777777" w:rsidR="00B71FFF" w:rsidRPr="006921AA" w:rsidRDefault="00B71FFF" w:rsidP="00BF519D">
      <w:pPr>
        <w:numPr>
          <w:ilvl w:val="0"/>
          <w:numId w:val="7"/>
        </w:numPr>
        <w:tabs>
          <w:tab w:val="left" w:pos="910"/>
        </w:tabs>
        <w:spacing w:after="0"/>
        <w:contextualSpacing/>
        <w:jc w:val="both"/>
        <w:rPr>
          <w:rFonts w:ascii="Arial" w:eastAsia="Calibri" w:hAnsi="Arial" w:cs="Arial"/>
          <w:sz w:val="20"/>
          <w:szCs w:val="20"/>
          <w:lang w:val="es-CO" w:eastAsia="es-CO"/>
        </w:rPr>
      </w:pPr>
      <w:r w:rsidRPr="006921AA">
        <w:rPr>
          <w:rFonts w:ascii="Arial" w:eastAsia="Calibri" w:hAnsi="Arial" w:cs="Arial"/>
          <w:sz w:val="20"/>
          <w:szCs w:val="20"/>
          <w:lang w:val="es-CO" w:eastAsia="es-CO"/>
        </w:rPr>
        <w:t xml:space="preserve">Implementación de las medidas de reparación colectiva a nivel nacional. </w:t>
      </w:r>
    </w:p>
    <w:p w14:paraId="2118ACB2" w14:textId="77777777" w:rsidR="00B71FFF" w:rsidRPr="006921AA" w:rsidRDefault="00B71FFF" w:rsidP="00B71FFF">
      <w:pPr>
        <w:tabs>
          <w:tab w:val="left" w:pos="910"/>
        </w:tabs>
        <w:spacing w:after="0"/>
        <w:ind w:left="720"/>
        <w:contextualSpacing/>
        <w:jc w:val="both"/>
        <w:rPr>
          <w:rFonts w:ascii="Arial" w:eastAsia="Calibri" w:hAnsi="Arial" w:cs="Arial"/>
          <w:sz w:val="20"/>
          <w:szCs w:val="20"/>
          <w:lang w:val="es-CO" w:eastAsia="es-CO"/>
        </w:rPr>
      </w:pPr>
    </w:p>
    <w:p w14:paraId="4AA5EB0D" w14:textId="77777777" w:rsidR="00B71FFF" w:rsidRPr="00B71FFF" w:rsidRDefault="00B71FFF" w:rsidP="00B71FFF">
      <w:pPr>
        <w:tabs>
          <w:tab w:val="left" w:pos="910"/>
        </w:tabs>
        <w:spacing w:after="0"/>
        <w:ind w:left="720"/>
        <w:contextualSpacing/>
        <w:jc w:val="both"/>
        <w:rPr>
          <w:rFonts w:ascii="Arial" w:eastAsia="Calibri" w:hAnsi="Arial" w:cs="Arial"/>
          <w:sz w:val="20"/>
          <w:szCs w:val="20"/>
          <w:lang w:val="es-CO" w:eastAsia="es-CO"/>
        </w:rPr>
      </w:pPr>
      <w:r w:rsidRPr="00B71FFF">
        <w:rPr>
          <w:rFonts w:ascii="Arial" w:eastAsia="Calibri" w:hAnsi="Arial" w:cs="Arial"/>
          <w:sz w:val="20"/>
          <w:szCs w:val="20"/>
          <w:lang w:val="es-CO" w:eastAsia="es-CO"/>
        </w:rPr>
        <w:t>Apropiación vigente: $3.500.000.000</w:t>
      </w:r>
    </w:p>
    <w:p w14:paraId="5A372903" w14:textId="77777777" w:rsidR="00B71FFF" w:rsidRPr="00B71FFF" w:rsidRDefault="00B71FFF" w:rsidP="00B71FFF">
      <w:pPr>
        <w:tabs>
          <w:tab w:val="left" w:pos="910"/>
        </w:tabs>
        <w:spacing w:after="0"/>
        <w:jc w:val="both"/>
        <w:rPr>
          <w:rFonts w:ascii="Arial" w:eastAsia="Calibri" w:hAnsi="Arial" w:cs="Arial"/>
          <w:b/>
          <w:sz w:val="20"/>
          <w:szCs w:val="20"/>
          <w:lang w:val="es-CO" w:eastAsia="es-CO"/>
        </w:rPr>
      </w:pPr>
    </w:p>
    <w:p w14:paraId="112D4962" w14:textId="77777777" w:rsidR="00B71FFF" w:rsidRPr="00B71FFF" w:rsidRDefault="00B71FFF" w:rsidP="00B71FFF">
      <w:pPr>
        <w:tabs>
          <w:tab w:val="left" w:pos="910"/>
        </w:tabs>
        <w:spacing w:after="0"/>
        <w:jc w:val="both"/>
        <w:rPr>
          <w:rFonts w:ascii="Arial" w:eastAsia="Calibri" w:hAnsi="Arial" w:cs="Arial"/>
          <w:b/>
          <w:sz w:val="20"/>
          <w:szCs w:val="20"/>
          <w:lang w:val="es-CO" w:eastAsia="es-CO"/>
        </w:rPr>
      </w:pPr>
      <w:r w:rsidRPr="00B71FFF">
        <w:rPr>
          <w:rFonts w:eastAsia="Cambria"/>
          <w:noProof/>
          <w:sz w:val="20"/>
          <w:szCs w:val="20"/>
          <w:lang w:eastAsia="es-ES"/>
        </w:rPr>
        <w:drawing>
          <wp:inline distT="0" distB="0" distL="0" distR="0" wp14:anchorId="7FF92828" wp14:editId="518BBF19">
            <wp:extent cx="5638800" cy="7429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95237" cy="750386"/>
                    </a:xfrm>
                    <a:prstGeom prst="rect">
                      <a:avLst/>
                    </a:prstGeom>
                    <a:noFill/>
                    <a:ln>
                      <a:noFill/>
                    </a:ln>
                  </pic:spPr>
                </pic:pic>
              </a:graphicData>
            </a:graphic>
          </wp:inline>
        </w:drawing>
      </w:r>
    </w:p>
    <w:p w14:paraId="116500A8" w14:textId="77777777" w:rsidR="004D028B" w:rsidRPr="004D028B" w:rsidRDefault="004D028B" w:rsidP="004D028B">
      <w:pPr>
        <w:tabs>
          <w:tab w:val="left" w:pos="910"/>
        </w:tabs>
        <w:spacing w:after="0" w:line="259" w:lineRule="auto"/>
        <w:rPr>
          <w:rFonts w:ascii="Arial" w:eastAsia="Times New Roman" w:hAnsi="Arial" w:cs="Arial"/>
          <w:sz w:val="10"/>
          <w:szCs w:val="20"/>
          <w:lang w:eastAsia="es-ES"/>
        </w:rPr>
      </w:pPr>
      <w:r w:rsidRPr="004D028B">
        <w:rPr>
          <w:rFonts w:ascii="Arial" w:eastAsia="Times New Roman" w:hAnsi="Arial" w:cs="Arial"/>
          <w:sz w:val="10"/>
          <w:szCs w:val="20"/>
          <w:lang w:eastAsia="es-ES"/>
        </w:rPr>
        <w:t xml:space="preserve">Fuente: Matriz Ejecución Presupuestal </w:t>
      </w:r>
      <w:proofErr w:type="gramStart"/>
      <w:r>
        <w:rPr>
          <w:rFonts w:ascii="Arial" w:eastAsia="Times New Roman" w:hAnsi="Arial" w:cs="Arial"/>
          <w:sz w:val="10"/>
          <w:szCs w:val="20"/>
          <w:lang w:eastAsia="es-ES"/>
        </w:rPr>
        <w:t>Junio</w:t>
      </w:r>
      <w:proofErr w:type="gramEnd"/>
      <w:r>
        <w:rPr>
          <w:rFonts w:ascii="Arial" w:eastAsia="Times New Roman" w:hAnsi="Arial" w:cs="Arial"/>
          <w:sz w:val="10"/>
          <w:szCs w:val="20"/>
          <w:lang w:eastAsia="es-ES"/>
        </w:rPr>
        <w:t xml:space="preserve"> 2018 </w:t>
      </w:r>
      <w:r w:rsidRPr="004D028B">
        <w:rPr>
          <w:rFonts w:ascii="Arial" w:eastAsia="Times New Roman" w:hAnsi="Arial" w:cs="Arial"/>
          <w:sz w:val="10"/>
          <w:szCs w:val="20"/>
          <w:lang w:eastAsia="es-ES"/>
        </w:rPr>
        <w:t xml:space="preserve">TOTORO </w:t>
      </w:r>
    </w:p>
    <w:p w14:paraId="528934B7" w14:textId="77777777" w:rsidR="00B71FFF" w:rsidRPr="00B71FFF" w:rsidRDefault="00B71FFF" w:rsidP="00B71FFF">
      <w:pPr>
        <w:tabs>
          <w:tab w:val="left" w:pos="910"/>
        </w:tabs>
        <w:spacing w:after="0"/>
        <w:jc w:val="both"/>
        <w:rPr>
          <w:rFonts w:ascii="Arial" w:eastAsia="Calibri" w:hAnsi="Arial" w:cs="Arial"/>
          <w:b/>
          <w:sz w:val="20"/>
          <w:szCs w:val="20"/>
          <w:lang w:val="es-CO" w:eastAsia="es-CO"/>
        </w:rPr>
      </w:pPr>
    </w:p>
    <w:p w14:paraId="74B82692" w14:textId="77777777" w:rsidR="00B71FFF" w:rsidRPr="00B71FFF" w:rsidRDefault="00B71FFF" w:rsidP="00E376B9">
      <w:pPr>
        <w:spacing w:after="0"/>
        <w:jc w:val="both"/>
        <w:rPr>
          <w:rFonts w:ascii="Arial" w:eastAsia="Times New Roman" w:hAnsi="Arial" w:cs="Arial"/>
          <w:sz w:val="20"/>
          <w:szCs w:val="20"/>
          <w:lang w:val="es-CO" w:eastAsia="es-ES"/>
        </w:rPr>
      </w:pPr>
      <w:r w:rsidRPr="00B71FFF">
        <w:rPr>
          <w:rFonts w:ascii="Arial" w:eastAsia="Times New Roman" w:hAnsi="Arial" w:cs="Arial"/>
          <w:sz w:val="20"/>
          <w:szCs w:val="20"/>
          <w:lang w:val="es-CO" w:eastAsia="es-ES"/>
        </w:rPr>
        <w:t xml:space="preserve">El presente proyecto de inversión muestra un avance acumulado a junio de 2018 del 100% en compromisos respecto a las apropiaciones vigentes. No obstante, en obligaciones y pagos registra un 29,5%. </w:t>
      </w:r>
    </w:p>
    <w:p w14:paraId="57ACA3ED" w14:textId="77777777" w:rsidR="00B71FFF" w:rsidRPr="00B71FFF" w:rsidRDefault="00B71FFF" w:rsidP="00E376B9">
      <w:pPr>
        <w:spacing w:after="0"/>
        <w:jc w:val="both"/>
        <w:rPr>
          <w:rFonts w:ascii="Arial" w:eastAsia="Times New Roman" w:hAnsi="Arial" w:cs="Arial"/>
          <w:color w:val="C00000"/>
          <w:sz w:val="20"/>
          <w:szCs w:val="20"/>
          <w:lang w:val="es-CO" w:eastAsia="es-ES"/>
        </w:rPr>
      </w:pPr>
    </w:p>
    <w:p w14:paraId="1519A2BA" w14:textId="77777777" w:rsidR="00B71FFF" w:rsidRPr="00B71FFF" w:rsidRDefault="00B71FFF" w:rsidP="00E376B9">
      <w:pPr>
        <w:spacing w:after="0"/>
        <w:jc w:val="both"/>
        <w:rPr>
          <w:rFonts w:ascii="Arial" w:eastAsia="Times New Roman" w:hAnsi="Arial" w:cs="Arial"/>
          <w:sz w:val="20"/>
          <w:szCs w:val="20"/>
          <w:lang w:val="es-CO" w:eastAsia="es-ES"/>
        </w:rPr>
      </w:pPr>
      <w:r w:rsidRPr="00B71FFF">
        <w:rPr>
          <w:rFonts w:ascii="Arial" w:eastAsia="Times New Roman" w:hAnsi="Arial" w:cs="Arial"/>
          <w:sz w:val="20"/>
          <w:szCs w:val="20"/>
          <w:lang w:val="es-CO" w:eastAsia="es-ES"/>
        </w:rPr>
        <w:t xml:space="preserve">Según el reporte que se detalla en el esquema financiero del sistema de seguimiento a proyectos de inversión (SPI) del DNP, este proyecto presenta los siguientes avances: Financiero 29,91%; físico 41% y gestión 0%.  </w:t>
      </w:r>
    </w:p>
    <w:p w14:paraId="13847511" w14:textId="77777777" w:rsidR="00B71FFF" w:rsidRPr="00B71FFF" w:rsidRDefault="00B71FFF" w:rsidP="00E376B9">
      <w:pPr>
        <w:spacing w:after="0"/>
        <w:jc w:val="both"/>
        <w:rPr>
          <w:rFonts w:ascii="Arial" w:eastAsia="Times New Roman" w:hAnsi="Arial" w:cs="Arial"/>
          <w:sz w:val="20"/>
          <w:szCs w:val="20"/>
          <w:lang w:val="es-CO" w:eastAsia="es-ES"/>
        </w:rPr>
      </w:pPr>
    </w:p>
    <w:p w14:paraId="5B8BC931" w14:textId="77777777" w:rsidR="00B71FFF" w:rsidRPr="00B71FFF" w:rsidRDefault="00B71FFF" w:rsidP="00E376B9">
      <w:pPr>
        <w:spacing w:after="0"/>
        <w:jc w:val="both"/>
        <w:rPr>
          <w:rFonts w:ascii="Arial" w:eastAsia="Times New Roman" w:hAnsi="Arial" w:cs="Arial"/>
          <w:sz w:val="20"/>
          <w:szCs w:val="20"/>
          <w:lang w:val="es-CO" w:eastAsia="es-ES"/>
        </w:rPr>
      </w:pPr>
      <w:r w:rsidRPr="00B71FFF">
        <w:rPr>
          <w:rFonts w:ascii="Arial" w:eastAsia="Times New Roman" w:hAnsi="Arial" w:cs="Arial"/>
          <w:sz w:val="20"/>
          <w:szCs w:val="20"/>
          <w:lang w:val="es-CO" w:eastAsia="es-ES"/>
        </w:rPr>
        <w:t xml:space="preserve">Esta Oficina alerta a la dependencia que tiene bajo su responsabilidad este proyecto, ante una ejecución del 29,5% en obligaciones. </w:t>
      </w:r>
    </w:p>
    <w:p w14:paraId="1CB24999" w14:textId="77777777" w:rsidR="00B71FFF" w:rsidRPr="00B71FFF" w:rsidRDefault="00B71FFF" w:rsidP="00B71FFF">
      <w:pPr>
        <w:tabs>
          <w:tab w:val="left" w:pos="910"/>
        </w:tabs>
        <w:spacing w:after="0"/>
        <w:jc w:val="both"/>
        <w:rPr>
          <w:rFonts w:ascii="Arial" w:eastAsia="Calibri" w:hAnsi="Arial" w:cs="Arial"/>
          <w:b/>
          <w:sz w:val="20"/>
          <w:szCs w:val="20"/>
          <w:lang w:val="es-CO" w:eastAsia="es-CO"/>
        </w:rPr>
      </w:pPr>
    </w:p>
    <w:p w14:paraId="7EBE4287" w14:textId="77777777" w:rsidR="00B71FFF" w:rsidRPr="006921AA" w:rsidRDefault="00B71FFF" w:rsidP="00BF519D">
      <w:pPr>
        <w:numPr>
          <w:ilvl w:val="0"/>
          <w:numId w:val="7"/>
        </w:numPr>
        <w:tabs>
          <w:tab w:val="left" w:pos="910"/>
        </w:tabs>
        <w:spacing w:after="0"/>
        <w:contextualSpacing/>
        <w:jc w:val="both"/>
        <w:rPr>
          <w:rFonts w:ascii="Arial" w:eastAsia="Calibri" w:hAnsi="Arial" w:cs="Arial"/>
          <w:sz w:val="20"/>
          <w:szCs w:val="20"/>
          <w:lang w:val="es-CO" w:eastAsia="es-CO"/>
        </w:rPr>
      </w:pPr>
      <w:r w:rsidRPr="006921AA">
        <w:rPr>
          <w:rFonts w:ascii="Arial" w:eastAsia="Calibri" w:hAnsi="Arial" w:cs="Arial"/>
          <w:sz w:val="20"/>
          <w:szCs w:val="20"/>
          <w:lang w:val="es-CO" w:eastAsia="es-CO"/>
        </w:rPr>
        <w:t xml:space="preserve">Mejoramiento de los canales de atención y comunicación para las víctimas para facilitar su acceso a la oferta institucional. </w:t>
      </w:r>
    </w:p>
    <w:p w14:paraId="640B2DFA" w14:textId="77777777" w:rsidR="00B71FFF" w:rsidRPr="00B71FFF" w:rsidRDefault="00B71FFF" w:rsidP="00B71FFF">
      <w:pPr>
        <w:tabs>
          <w:tab w:val="left" w:pos="910"/>
        </w:tabs>
        <w:spacing w:after="0"/>
        <w:ind w:left="720"/>
        <w:contextualSpacing/>
        <w:jc w:val="both"/>
        <w:rPr>
          <w:rFonts w:ascii="Arial" w:eastAsia="Calibri" w:hAnsi="Arial" w:cs="Arial"/>
          <w:sz w:val="20"/>
          <w:szCs w:val="20"/>
          <w:lang w:val="es-CO" w:eastAsia="es-CO"/>
        </w:rPr>
      </w:pPr>
    </w:p>
    <w:p w14:paraId="1BEFB041" w14:textId="77777777" w:rsidR="00B71FFF" w:rsidRPr="00B71FFF" w:rsidRDefault="00B71FFF" w:rsidP="00B71FFF">
      <w:pPr>
        <w:tabs>
          <w:tab w:val="left" w:pos="910"/>
        </w:tabs>
        <w:spacing w:after="0"/>
        <w:ind w:left="720"/>
        <w:contextualSpacing/>
        <w:jc w:val="both"/>
        <w:rPr>
          <w:rFonts w:ascii="Arial" w:eastAsia="Calibri" w:hAnsi="Arial" w:cs="Arial"/>
          <w:sz w:val="20"/>
          <w:szCs w:val="20"/>
          <w:lang w:val="es-CO" w:eastAsia="es-CO"/>
        </w:rPr>
      </w:pPr>
      <w:r w:rsidRPr="00B71FFF">
        <w:rPr>
          <w:rFonts w:ascii="Arial" w:eastAsia="Calibri" w:hAnsi="Arial" w:cs="Arial"/>
          <w:sz w:val="20"/>
          <w:szCs w:val="20"/>
          <w:lang w:val="es-CO" w:eastAsia="es-CO"/>
        </w:rPr>
        <w:t>Apropiación vigente: $155.070.000.000</w:t>
      </w:r>
    </w:p>
    <w:p w14:paraId="55497EAF" w14:textId="77777777" w:rsidR="00B71FFF" w:rsidRPr="00B71FFF" w:rsidRDefault="00B71FFF" w:rsidP="00B71FFF">
      <w:pPr>
        <w:tabs>
          <w:tab w:val="left" w:pos="910"/>
        </w:tabs>
        <w:spacing w:after="0"/>
        <w:ind w:left="720"/>
        <w:contextualSpacing/>
        <w:jc w:val="both"/>
        <w:rPr>
          <w:rFonts w:ascii="Arial" w:eastAsia="Calibri" w:hAnsi="Arial" w:cs="Arial"/>
          <w:sz w:val="20"/>
          <w:szCs w:val="20"/>
          <w:lang w:val="es-CO" w:eastAsia="es-CO"/>
        </w:rPr>
      </w:pPr>
    </w:p>
    <w:p w14:paraId="7F8DEDF1" w14:textId="77777777" w:rsidR="00B71FFF" w:rsidRPr="00B71FFF" w:rsidRDefault="00B71FFF" w:rsidP="00B71FFF">
      <w:pPr>
        <w:tabs>
          <w:tab w:val="left" w:pos="910"/>
        </w:tabs>
        <w:spacing w:after="0"/>
        <w:jc w:val="both"/>
        <w:rPr>
          <w:rFonts w:ascii="Arial" w:eastAsia="Calibri" w:hAnsi="Arial" w:cs="Arial"/>
          <w:b/>
          <w:sz w:val="20"/>
          <w:szCs w:val="20"/>
          <w:lang w:val="es-CO" w:eastAsia="es-CO"/>
        </w:rPr>
      </w:pPr>
      <w:r w:rsidRPr="00B71FFF">
        <w:rPr>
          <w:rFonts w:eastAsia="Cambria"/>
          <w:noProof/>
          <w:sz w:val="20"/>
          <w:szCs w:val="20"/>
          <w:lang w:eastAsia="es-ES"/>
        </w:rPr>
        <w:drawing>
          <wp:inline distT="0" distB="0" distL="0" distR="0" wp14:anchorId="071F9528" wp14:editId="27262E24">
            <wp:extent cx="5632982" cy="762000"/>
            <wp:effectExtent l="0" t="0" r="635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840060" cy="790012"/>
                    </a:xfrm>
                    <a:prstGeom prst="rect">
                      <a:avLst/>
                    </a:prstGeom>
                    <a:noFill/>
                    <a:ln>
                      <a:noFill/>
                    </a:ln>
                  </pic:spPr>
                </pic:pic>
              </a:graphicData>
            </a:graphic>
          </wp:inline>
        </w:drawing>
      </w:r>
    </w:p>
    <w:p w14:paraId="57D9223B" w14:textId="0B7976DC" w:rsidR="00B71FFF" w:rsidRDefault="004D028B" w:rsidP="00CB7B63">
      <w:pPr>
        <w:tabs>
          <w:tab w:val="left" w:pos="910"/>
        </w:tabs>
        <w:spacing w:after="0" w:line="259" w:lineRule="auto"/>
        <w:rPr>
          <w:rFonts w:ascii="Arial" w:eastAsia="Times New Roman" w:hAnsi="Arial" w:cs="Arial"/>
          <w:sz w:val="10"/>
          <w:szCs w:val="20"/>
          <w:lang w:eastAsia="es-ES"/>
        </w:rPr>
      </w:pPr>
      <w:r w:rsidRPr="004D028B">
        <w:rPr>
          <w:rFonts w:ascii="Arial" w:eastAsia="Times New Roman" w:hAnsi="Arial" w:cs="Arial"/>
          <w:sz w:val="10"/>
          <w:szCs w:val="20"/>
          <w:lang w:eastAsia="es-ES"/>
        </w:rPr>
        <w:t xml:space="preserve">Fuente: Matriz Ejecución Presupuestal </w:t>
      </w:r>
      <w:proofErr w:type="gramStart"/>
      <w:r>
        <w:rPr>
          <w:rFonts w:ascii="Arial" w:eastAsia="Times New Roman" w:hAnsi="Arial" w:cs="Arial"/>
          <w:sz w:val="10"/>
          <w:szCs w:val="20"/>
          <w:lang w:eastAsia="es-ES"/>
        </w:rPr>
        <w:t>Junio</w:t>
      </w:r>
      <w:proofErr w:type="gramEnd"/>
      <w:r>
        <w:rPr>
          <w:rFonts w:ascii="Arial" w:eastAsia="Times New Roman" w:hAnsi="Arial" w:cs="Arial"/>
          <w:sz w:val="10"/>
          <w:szCs w:val="20"/>
          <w:lang w:eastAsia="es-ES"/>
        </w:rPr>
        <w:t xml:space="preserve"> 2018 </w:t>
      </w:r>
      <w:r w:rsidR="00CB7B63">
        <w:rPr>
          <w:rFonts w:ascii="Arial" w:eastAsia="Times New Roman" w:hAnsi="Arial" w:cs="Arial"/>
          <w:sz w:val="10"/>
          <w:szCs w:val="20"/>
          <w:lang w:eastAsia="es-ES"/>
        </w:rPr>
        <w:t xml:space="preserve">TOTORO </w:t>
      </w:r>
    </w:p>
    <w:p w14:paraId="4DD1989C" w14:textId="77777777" w:rsidR="00CB7B63" w:rsidRPr="00CB7B63" w:rsidRDefault="00CB7B63" w:rsidP="00CB7B63">
      <w:pPr>
        <w:tabs>
          <w:tab w:val="left" w:pos="910"/>
        </w:tabs>
        <w:spacing w:after="0" w:line="259" w:lineRule="auto"/>
        <w:rPr>
          <w:rFonts w:ascii="Arial" w:eastAsia="Times New Roman" w:hAnsi="Arial" w:cs="Arial"/>
          <w:sz w:val="10"/>
          <w:szCs w:val="20"/>
          <w:lang w:eastAsia="es-ES"/>
        </w:rPr>
      </w:pPr>
    </w:p>
    <w:p w14:paraId="40030E56" w14:textId="77777777" w:rsidR="00B71FFF" w:rsidRPr="00B71FFF" w:rsidRDefault="00B71FFF" w:rsidP="00B71FFF">
      <w:pPr>
        <w:tabs>
          <w:tab w:val="left" w:pos="910"/>
        </w:tabs>
        <w:spacing w:after="0"/>
        <w:jc w:val="both"/>
        <w:rPr>
          <w:rFonts w:ascii="Arial" w:eastAsia="Times New Roman" w:hAnsi="Arial" w:cs="Arial"/>
          <w:sz w:val="20"/>
          <w:szCs w:val="20"/>
          <w:lang w:eastAsia="es-ES"/>
        </w:rPr>
      </w:pPr>
      <w:r w:rsidRPr="00B71FFF">
        <w:rPr>
          <w:rFonts w:ascii="Arial" w:eastAsia="Times New Roman" w:hAnsi="Arial" w:cs="Arial"/>
          <w:sz w:val="20"/>
          <w:szCs w:val="20"/>
          <w:lang w:eastAsia="es-ES"/>
        </w:rPr>
        <w:t xml:space="preserve">El proyecto de inversión </w:t>
      </w:r>
      <w:r w:rsidRPr="00B71FFF">
        <w:rPr>
          <w:rFonts w:ascii="Arial" w:eastAsia="Calibri" w:hAnsi="Arial" w:cs="Arial"/>
          <w:sz w:val="20"/>
          <w:szCs w:val="20"/>
          <w:lang w:val="es-CO" w:eastAsia="es-CO"/>
        </w:rPr>
        <w:t>registra un avance acumulado a junio 30 de 2018, del 41,20% en compromisos y 29,3% tanto en obligaciones como en pagos respecto a las apropiaciones vigentes. Asimismo, tiene pendiente por comprometer $91.176.754.445, 17.</w:t>
      </w:r>
    </w:p>
    <w:p w14:paraId="5049CCC9" w14:textId="77777777" w:rsidR="00B71FFF" w:rsidRPr="00B71FFF" w:rsidRDefault="00B71FFF" w:rsidP="00B71FFF">
      <w:pPr>
        <w:spacing w:after="0"/>
        <w:jc w:val="both"/>
        <w:rPr>
          <w:rFonts w:ascii="Arial" w:eastAsia="Times New Roman" w:hAnsi="Arial" w:cs="Arial"/>
          <w:b/>
          <w:color w:val="0070C0"/>
          <w:sz w:val="20"/>
          <w:szCs w:val="20"/>
          <w:lang w:val="es-CO" w:eastAsia="es-ES"/>
        </w:rPr>
      </w:pPr>
    </w:p>
    <w:p w14:paraId="3A42292A" w14:textId="77777777" w:rsidR="00B71FFF" w:rsidRPr="00B71FFF" w:rsidRDefault="00B71FFF" w:rsidP="00B71FFF">
      <w:pPr>
        <w:spacing w:after="0"/>
        <w:jc w:val="both"/>
        <w:rPr>
          <w:rFonts w:ascii="Arial" w:eastAsia="Times New Roman" w:hAnsi="Arial" w:cs="Arial"/>
          <w:sz w:val="20"/>
          <w:szCs w:val="20"/>
          <w:lang w:val="es-CO" w:eastAsia="es-ES"/>
        </w:rPr>
      </w:pPr>
      <w:r w:rsidRPr="00B71FFF">
        <w:rPr>
          <w:rFonts w:ascii="Arial" w:eastAsia="Times New Roman" w:hAnsi="Arial" w:cs="Arial"/>
          <w:sz w:val="20"/>
          <w:szCs w:val="20"/>
          <w:lang w:val="es-CO" w:eastAsia="es-ES"/>
        </w:rPr>
        <w:t xml:space="preserve">Según el reporte que se observa en el esquema financiero del sistema de seguimiento a proyectos de inversión (SPI) del DNP, el proyecto presenta los siguientes avances: Financiero 29,91%; físico 41% y gestión 0%.  </w:t>
      </w:r>
    </w:p>
    <w:p w14:paraId="17320A8D" w14:textId="77777777" w:rsidR="00B71FFF" w:rsidRPr="00B71FFF" w:rsidRDefault="00B71FFF" w:rsidP="00B71FFF">
      <w:pPr>
        <w:spacing w:after="0"/>
        <w:jc w:val="both"/>
        <w:rPr>
          <w:rFonts w:ascii="Arial" w:eastAsia="Times New Roman" w:hAnsi="Arial" w:cs="Arial"/>
          <w:sz w:val="20"/>
          <w:szCs w:val="20"/>
          <w:lang w:val="es-CO" w:eastAsia="es-ES"/>
        </w:rPr>
      </w:pPr>
    </w:p>
    <w:p w14:paraId="75CB71FA" w14:textId="77777777" w:rsidR="00B71FFF" w:rsidRPr="00B71FFF" w:rsidRDefault="00B71FFF" w:rsidP="00B71FFF">
      <w:pPr>
        <w:spacing w:after="0"/>
        <w:jc w:val="both"/>
        <w:rPr>
          <w:rFonts w:ascii="Arial" w:eastAsia="Times New Roman" w:hAnsi="Arial" w:cs="Arial"/>
          <w:color w:val="C00000"/>
          <w:sz w:val="20"/>
          <w:szCs w:val="20"/>
          <w:lang w:val="es-CO" w:eastAsia="es-ES"/>
        </w:rPr>
      </w:pPr>
      <w:r w:rsidRPr="00B71FFF">
        <w:rPr>
          <w:rFonts w:ascii="Arial" w:eastAsia="Times New Roman" w:hAnsi="Arial" w:cs="Arial"/>
          <w:sz w:val="20"/>
          <w:szCs w:val="20"/>
          <w:lang w:val="es-CO" w:eastAsia="es-ES"/>
        </w:rPr>
        <w:t>Se alerta a la dependencia que tiene a cargo este proyecto ante una ejecución del 29,3% en obligaciones cumplido el primer semestre de 2018</w:t>
      </w:r>
      <w:r w:rsidRPr="00B71FFF">
        <w:rPr>
          <w:rFonts w:ascii="Arial" w:eastAsia="Times New Roman" w:hAnsi="Arial" w:cs="Arial"/>
          <w:color w:val="C00000"/>
          <w:sz w:val="20"/>
          <w:szCs w:val="20"/>
          <w:lang w:val="es-CO" w:eastAsia="es-ES"/>
        </w:rPr>
        <w:t xml:space="preserve">. </w:t>
      </w:r>
    </w:p>
    <w:p w14:paraId="18E06AD9" w14:textId="77777777" w:rsidR="00B71FFF" w:rsidRPr="00B71FFF" w:rsidRDefault="00B71FFF" w:rsidP="00B71FFF">
      <w:pPr>
        <w:tabs>
          <w:tab w:val="left" w:pos="910"/>
        </w:tabs>
        <w:spacing w:after="0"/>
        <w:jc w:val="both"/>
        <w:rPr>
          <w:rFonts w:ascii="Arial" w:eastAsia="Calibri" w:hAnsi="Arial" w:cs="Arial"/>
          <w:b/>
          <w:sz w:val="20"/>
          <w:szCs w:val="20"/>
          <w:lang w:val="es-CO" w:eastAsia="es-CO"/>
        </w:rPr>
      </w:pPr>
    </w:p>
    <w:p w14:paraId="746FD761" w14:textId="77777777" w:rsidR="00B71FFF" w:rsidRPr="006921AA" w:rsidRDefault="00B71FFF" w:rsidP="00BF519D">
      <w:pPr>
        <w:numPr>
          <w:ilvl w:val="0"/>
          <w:numId w:val="7"/>
        </w:numPr>
        <w:tabs>
          <w:tab w:val="left" w:pos="910"/>
        </w:tabs>
        <w:spacing w:after="0"/>
        <w:contextualSpacing/>
        <w:jc w:val="both"/>
        <w:rPr>
          <w:rFonts w:ascii="Arial" w:eastAsia="Times New Roman" w:hAnsi="Arial" w:cs="Arial"/>
          <w:sz w:val="20"/>
          <w:szCs w:val="20"/>
          <w:lang w:eastAsia="es-ES"/>
        </w:rPr>
      </w:pPr>
      <w:r w:rsidRPr="006921AA">
        <w:rPr>
          <w:rFonts w:ascii="Arial" w:eastAsia="Calibri" w:hAnsi="Arial" w:cs="Arial"/>
          <w:sz w:val="20"/>
          <w:szCs w:val="20"/>
          <w:lang w:val="es-CO" w:eastAsia="es-CO"/>
        </w:rPr>
        <w:t xml:space="preserve">Apoyo a la consolidación de los derechos de las víctimas en el marco de la ley de víctimas y restitución de tierras a nivel nacional. </w:t>
      </w:r>
    </w:p>
    <w:p w14:paraId="01A68832" w14:textId="77777777" w:rsidR="00B71FFF" w:rsidRPr="00B71FFF" w:rsidRDefault="00B71FFF" w:rsidP="00B71FFF">
      <w:pPr>
        <w:tabs>
          <w:tab w:val="left" w:pos="910"/>
        </w:tabs>
        <w:spacing w:after="0"/>
        <w:ind w:left="720"/>
        <w:contextualSpacing/>
        <w:jc w:val="both"/>
        <w:rPr>
          <w:rFonts w:ascii="Arial" w:eastAsia="Calibri" w:hAnsi="Arial" w:cs="Arial"/>
          <w:b/>
          <w:sz w:val="20"/>
          <w:szCs w:val="20"/>
          <w:lang w:val="es-CO" w:eastAsia="es-CO"/>
        </w:rPr>
      </w:pPr>
    </w:p>
    <w:p w14:paraId="6CC3A5A0" w14:textId="77777777" w:rsidR="00B71FFF" w:rsidRPr="00B71FFF" w:rsidRDefault="00B71FFF" w:rsidP="00B71FFF">
      <w:pPr>
        <w:tabs>
          <w:tab w:val="left" w:pos="910"/>
        </w:tabs>
        <w:spacing w:after="0"/>
        <w:ind w:left="720"/>
        <w:contextualSpacing/>
        <w:jc w:val="both"/>
        <w:rPr>
          <w:rFonts w:ascii="Arial" w:eastAsia="Calibri" w:hAnsi="Arial" w:cs="Arial"/>
          <w:sz w:val="20"/>
          <w:szCs w:val="20"/>
          <w:lang w:val="es-CO" w:eastAsia="es-CO"/>
        </w:rPr>
      </w:pPr>
      <w:r w:rsidRPr="00B71FFF">
        <w:rPr>
          <w:rFonts w:ascii="Arial" w:eastAsia="Calibri" w:hAnsi="Arial" w:cs="Arial"/>
          <w:sz w:val="20"/>
          <w:szCs w:val="20"/>
          <w:lang w:val="es-CO" w:eastAsia="es-CO"/>
        </w:rPr>
        <w:t>Apropiación vigente: $365.000.000</w:t>
      </w:r>
    </w:p>
    <w:p w14:paraId="28B5E590" w14:textId="77777777" w:rsidR="00B71FFF" w:rsidRPr="00B71FFF" w:rsidRDefault="00B71FFF" w:rsidP="00B71FFF">
      <w:pPr>
        <w:tabs>
          <w:tab w:val="left" w:pos="910"/>
        </w:tabs>
        <w:spacing w:after="0"/>
        <w:ind w:left="720"/>
        <w:contextualSpacing/>
        <w:jc w:val="both"/>
        <w:rPr>
          <w:rFonts w:ascii="Arial" w:eastAsia="Calibri" w:hAnsi="Arial" w:cs="Arial"/>
          <w:b/>
          <w:sz w:val="20"/>
          <w:szCs w:val="20"/>
          <w:lang w:val="es-CO" w:eastAsia="es-CO"/>
        </w:rPr>
      </w:pPr>
    </w:p>
    <w:p w14:paraId="65347CAF" w14:textId="77777777" w:rsidR="00B71FFF" w:rsidRPr="00B71FFF" w:rsidRDefault="00B71FFF" w:rsidP="00B71FFF">
      <w:pPr>
        <w:tabs>
          <w:tab w:val="left" w:pos="910"/>
        </w:tabs>
        <w:spacing w:after="0"/>
        <w:jc w:val="both"/>
        <w:rPr>
          <w:rFonts w:ascii="Arial" w:eastAsia="Times New Roman" w:hAnsi="Arial" w:cs="Arial"/>
          <w:sz w:val="20"/>
          <w:szCs w:val="20"/>
          <w:lang w:eastAsia="es-ES"/>
        </w:rPr>
      </w:pPr>
      <w:r w:rsidRPr="00B71FFF">
        <w:rPr>
          <w:rFonts w:eastAsia="Cambria"/>
          <w:noProof/>
          <w:sz w:val="20"/>
          <w:szCs w:val="20"/>
          <w:lang w:eastAsia="es-ES"/>
        </w:rPr>
        <w:drawing>
          <wp:inline distT="0" distB="0" distL="0" distR="0" wp14:anchorId="48DA7EE0" wp14:editId="1637D3A7">
            <wp:extent cx="5632450" cy="781050"/>
            <wp:effectExtent l="0" t="0" r="635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15215" cy="792527"/>
                    </a:xfrm>
                    <a:prstGeom prst="rect">
                      <a:avLst/>
                    </a:prstGeom>
                    <a:noFill/>
                    <a:ln>
                      <a:noFill/>
                    </a:ln>
                  </pic:spPr>
                </pic:pic>
              </a:graphicData>
            </a:graphic>
          </wp:inline>
        </w:drawing>
      </w:r>
    </w:p>
    <w:p w14:paraId="008FB218" w14:textId="63D94F13" w:rsidR="00B71FFF" w:rsidRDefault="004D028B" w:rsidP="00CB7B63">
      <w:pPr>
        <w:tabs>
          <w:tab w:val="left" w:pos="910"/>
        </w:tabs>
        <w:spacing w:after="0" w:line="259" w:lineRule="auto"/>
        <w:rPr>
          <w:rFonts w:ascii="Arial" w:eastAsia="Times New Roman" w:hAnsi="Arial" w:cs="Arial"/>
          <w:sz w:val="10"/>
          <w:szCs w:val="20"/>
          <w:lang w:eastAsia="es-ES"/>
        </w:rPr>
      </w:pPr>
      <w:r w:rsidRPr="004D028B">
        <w:rPr>
          <w:rFonts w:ascii="Arial" w:eastAsia="Times New Roman" w:hAnsi="Arial" w:cs="Arial"/>
          <w:sz w:val="10"/>
          <w:szCs w:val="20"/>
          <w:lang w:eastAsia="es-ES"/>
        </w:rPr>
        <w:t xml:space="preserve">Fuente: Matriz Ejecución Presupuestal </w:t>
      </w:r>
      <w:proofErr w:type="gramStart"/>
      <w:r>
        <w:rPr>
          <w:rFonts w:ascii="Arial" w:eastAsia="Times New Roman" w:hAnsi="Arial" w:cs="Arial"/>
          <w:sz w:val="10"/>
          <w:szCs w:val="20"/>
          <w:lang w:eastAsia="es-ES"/>
        </w:rPr>
        <w:t>Junio</w:t>
      </w:r>
      <w:proofErr w:type="gramEnd"/>
      <w:r>
        <w:rPr>
          <w:rFonts w:ascii="Arial" w:eastAsia="Times New Roman" w:hAnsi="Arial" w:cs="Arial"/>
          <w:sz w:val="10"/>
          <w:szCs w:val="20"/>
          <w:lang w:eastAsia="es-ES"/>
        </w:rPr>
        <w:t xml:space="preserve"> 2018 </w:t>
      </w:r>
      <w:r w:rsidR="00CB7B63">
        <w:rPr>
          <w:rFonts w:ascii="Arial" w:eastAsia="Times New Roman" w:hAnsi="Arial" w:cs="Arial"/>
          <w:sz w:val="10"/>
          <w:szCs w:val="20"/>
          <w:lang w:eastAsia="es-ES"/>
        </w:rPr>
        <w:t xml:space="preserve">TOTORO </w:t>
      </w:r>
    </w:p>
    <w:p w14:paraId="22BB6944" w14:textId="77777777" w:rsidR="00CB7B63" w:rsidRPr="00CB7B63" w:rsidRDefault="00CB7B63" w:rsidP="00CB7B63">
      <w:pPr>
        <w:tabs>
          <w:tab w:val="left" w:pos="910"/>
        </w:tabs>
        <w:spacing w:after="0" w:line="259" w:lineRule="auto"/>
        <w:rPr>
          <w:rFonts w:ascii="Arial" w:eastAsia="Times New Roman" w:hAnsi="Arial" w:cs="Arial"/>
          <w:sz w:val="10"/>
          <w:szCs w:val="20"/>
          <w:lang w:eastAsia="es-ES"/>
        </w:rPr>
      </w:pPr>
    </w:p>
    <w:p w14:paraId="23AFF0CE" w14:textId="77777777" w:rsidR="00B71FFF" w:rsidRDefault="00B71FFF" w:rsidP="00B71FFF">
      <w:pPr>
        <w:tabs>
          <w:tab w:val="left" w:pos="910"/>
        </w:tabs>
        <w:spacing w:after="0"/>
        <w:jc w:val="both"/>
        <w:rPr>
          <w:rFonts w:ascii="Arial" w:eastAsia="Calibri" w:hAnsi="Arial" w:cs="Arial"/>
          <w:sz w:val="20"/>
          <w:szCs w:val="20"/>
          <w:lang w:val="es-CO" w:eastAsia="es-CO"/>
        </w:rPr>
      </w:pPr>
      <w:r w:rsidRPr="00B71FFF">
        <w:rPr>
          <w:rFonts w:ascii="Arial" w:eastAsia="Times New Roman" w:hAnsi="Arial" w:cs="Arial"/>
          <w:sz w:val="20"/>
          <w:szCs w:val="20"/>
          <w:lang w:eastAsia="es-ES"/>
        </w:rPr>
        <w:t xml:space="preserve">Finalizado el primer semestre de 2018, este Proyecto de Inversión </w:t>
      </w:r>
      <w:r w:rsidRPr="00B71FFF">
        <w:rPr>
          <w:rFonts w:ascii="Arial" w:eastAsia="Calibri" w:hAnsi="Arial" w:cs="Arial"/>
          <w:sz w:val="20"/>
          <w:szCs w:val="20"/>
          <w:lang w:val="es-CO" w:eastAsia="es-CO"/>
        </w:rPr>
        <w:t>registra un avance acumulado del 15,30</w:t>
      </w:r>
      <w:r w:rsidRPr="006921AA">
        <w:rPr>
          <w:rFonts w:ascii="Arial" w:eastAsia="Calibri" w:hAnsi="Arial" w:cs="Arial"/>
          <w:sz w:val="20"/>
          <w:szCs w:val="20"/>
          <w:lang w:val="es-CO" w:eastAsia="es-CO"/>
        </w:rPr>
        <w:t>% en compromisos y 4,4% en obligaciones y pagos respecto a las apropiaciones vigentes. Tienen pendiente por comprometer $309.150.688</w:t>
      </w:r>
    </w:p>
    <w:p w14:paraId="76BF61BD" w14:textId="77777777" w:rsidR="00E376B9" w:rsidRPr="006921AA" w:rsidRDefault="00E376B9" w:rsidP="00B71FFF">
      <w:pPr>
        <w:tabs>
          <w:tab w:val="left" w:pos="910"/>
        </w:tabs>
        <w:spacing w:after="0"/>
        <w:jc w:val="both"/>
        <w:rPr>
          <w:rFonts w:ascii="Arial" w:eastAsia="Times New Roman" w:hAnsi="Arial" w:cs="Arial"/>
          <w:sz w:val="20"/>
          <w:szCs w:val="20"/>
          <w:lang w:eastAsia="es-ES"/>
        </w:rPr>
      </w:pPr>
    </w:p>
    <w:p w14:paraId="2FB5C586" w14:textId="77777777" w:rsidR="00B71FFF" w:rsidRPr="00B71FFF" w:rsidRDefault="00B71FFF" w:rsidP="00B71FFF">
      <w:pPr>
        <w:spacing w:after="0"/>
        <w:jc w:val="both"/>
        <w:rPr>
          <w:rFonts w:ascii="Arial" w:eastAsia="Times New Roman" w:hAnsi="Arial" w:cs="Arial"/>
          <w:sz w:val="20"/>
          <w:szCs w:val="20"/>
          <w:lang w:val="es-CO" w:eastAsia="es-ES"/>
        </w:rPr>
      </w:pPr>
      <w:r w:rsidRPr="006921AA">
        <w:rPr>
          <w:rFonts w:ascii="Arial" w:eastAsia="Times New Roman" w:hAnsi="Arial" w:cs="Arial"/>
          <w:sz w:val="20"/>
          <w:szCs w:val="20"/>
          <w:lang w:val="es-CO" w:eastAsia="es-ES"/>
        </w:rPr>
        <w:t>Según el reporte inscrito en el esquema financiero</w:t>
      </w:r>
      <w:r w:rsidRPr="00B71FFF">
        <w:rPr>
          <w:rFonts w:ascii="Arial" w:eastAsia="Times New Roman" w:hAnsi="Arial" w:cs="Arial"/>
          <w:sz w:val="20"/>
          <w:szCs w:val="20"/>
          <w:lang w:val="es-CO" w:eastAsia="es-ES"/>
        </w:rPr>
        <w:t xml:space="preserve"> del sistema de seguimiento a proyectos de inversión (SPI) del DNP, este proyecto presenta los siguientes avances: Financiero 4,40%; físico 0% y gestión 0%.  </w:t>
      </w:r>
    </w:p>
    <w:p w14:paraId="788ED149" w14:textId="77777777" w:rsidR="00B71FFF" w:rsidRPr="00B71FFF" w:rsidRDefault="00B71FFF" w:rsidP="00B71FFF">
      <w:pPr>
        <w:spacing w:after="0"/>
        <w:jc w:val="both"/>
        <w:rPr>
          <w:rFonts w:ascii="Arial" w:eastAsia="Times New Roman" w:hAnsi="Arial" w:cs="Arial"/>
          <w:sz w:val="20"/>
          <w:szCs w:val="20"/>
          <w:lang w:val="es-CO" w:eastAsia="es-ES"/>
        </w:rPr>
      </w:pPr>
      <w:r w:rsidRPr="00B71FFF">
        <w:rPr>
          <w:rFonts w:ascii="Arial" w:eastAsia="Times New Roman" w:hAnsi="Arial" w:cs="Arial"/>
          <w:sz w:val="20"/>
          <w:szCs w:val="20"/>
          <w:lang w:val="es-CO" w:eastAsia="es-ES"/>
        </w:rPr>
        <w:lastRenderedPageBreak/>
        <w:t xml:space="preserve">Por consiguiente, la OCI alerta a la dependencia responsable, ante una baja ejecución del 4,4% en obligaciones.  </w:t>
      </w:r>
    </w:p>
    <w:p w14:paraId="19FFC872" w14:textId="77777777" w:rsidR="00B71FFF" w:rsidRPr="00B71FFF" w:rsidRDefault="00B71FFF" w:rsidP="00B71FFF">
      <w:pPr>
        <w:tabs>
          <w:tab w:val="left" w:pos="910"/>
        </w:tabs>
        <w:spacing w:after="0"/>
        <w:jc w:val="both"/>
        <w:rPr>
          <w:rFonts w:ascii="Arial" w:eastAsia="Calibri" w:hAnsi="Arial" w:cs="Arial"/>
          <w:b/>
          <w:sz w:val="20"/>
          <w:szCs w:val="20"/>
          <w:lang w:val="es-CO" w:eastAsia="es-CO"/>
        </w:rPr>
      </w:pPr>
    </w:p>
    <w:p w14:paraId="04B978B0" w14:textId="77777777" w:rsidR="00B71FFF" w:rsidRPr="006921AA" w:rsidRDefault="00B71FFF" w:rsidP="00BF519D">
      <w:pPr>
        <w:numPr>
          <w:ilvl w:val="0"/>
          <w:numId w:val="7"/>
        </w:numPr>
        <w:tabs>
          <w:tab w:val="left" w:pos="910"/>
        </w:tabs>
        <w:spacing w:after="0"/>
        <w:contextualSpacing/>
        <w:jc w:val="both"/>
        <w:rPr>
          <w:rFonts w:ascii="Arial" w:eastAsia="Calibri" w:hAnsi="Arial" w:cs="Arial"/>
          <w:sz w:val="20"/>
          <w:szCs w:val="20"/>
          <w:lang w:eastAsia="es-CO"/>
        </w:rPr>
      </w:pPr>
      <w:r w:rsidRPr="006921AA">
        <w:rPr>
          <w:rFonts w:ascii="Arial" w:eastAsia="Calibri" w:hAnsi="Arial" w:cs="Arial"/>
          <w:sz w:val="20"/>
          <w:szCs w:val="20"/>
          <w:lang w:eastAsia="es-CO"/>
        </w:rPr>
        <w:t xml:space="preserve">Implementación de procesos de retorno o reubicación de víctimas de desplazamiento forzado, en el marco de la reparación integral a nivel nacional. </w:t>
      </w:r>
    </w:p>
    <w:p w14:paraId="5A579F0C" w14:textId="77777777" w:rsidR="00B71FFF" w:rsidRPr="006921AA" w:rsidRDefault="00B71FFF" w:rsidP="00B71FFF">
      <w:pPr>
        <w:tabs>
          <w:tab w:val="left" w:pos="910"/>
        </w:tabs>
        <w:spacing w:after="0"/>
        <w:ind w:left="720"/>
        <w:contextualSpacing/>
        <w:jc w:val="both"/>
        <w:rPr>
          <w:rFonts w:ascii="Arial" w:eastAsia="Calibri" w:hAnsi="Arial" w:cs="Arial"/>
          <w:sz w:val="20"/>
          <w:szCs w:val="20"/>
          <w:lang w:eastAsia="es-CO"/>
        </w:rPr>
      </w:pPr>
    </w:p>
    <w:p w14:paraId="6E7D8884" w14:textId="77777777" w:rsidR="00B71FFF" w:rsidRPr="00B71FFF" w:rsidRDefault="00B71FFF" w:rsidP="00B71FFF">
      <w:pPr>
        <w:tabs>
          <w:tab w:val="left" w:pos="910"/>
        </w:tabs>
        <w:spacing w:after="0"/>
        <w:ind w:left="720"/>
        <w:contextualSpacing/>
        <w:jc w:val="both"/>
        <w:rPr>
          <w:rFonts w:ascii="Arial" w:eastAsia="Calibri" w:hAnsi="Arial" w:cs="Arial"/>
          <w:sz w:val="20"/>
          <w:szCs w:val="20"/>
          <w:lang w:eastAsia="es-CO"/>
        </w:rPr>
      </w:pPr>
      <w:r w:rsidRPr="00B71FFF">
        <w:rPr>
          <w:rFonts w:ascii="Arial" w:eastAsia="Calibri" w:hAnsi="Arial" w:cs="Arial"/>
          <w:sz w:val="20"/>
          <w:szCs w:val="20"/>
          <w:lang w:eastAsia="es-CO"/>
        </w:rPr>
        <w:t>Apropiación vigente: $18.000.000.000</w:t>
      </w:r>
    </w:p>
    <w:p w14:paraId="60EB2524" w14:textId="77777777" w:rsidR="00B71FFF" w:rsidRPr="00B71FFF" w:rsidRDefault="00B71FFF" w:rsidP="00B71FFF">
      <w:pPr>
        <w:tabs>
          <w:tab w:val="left" w:pos="910"/>
        </w:tabs>
        <w:spacing w:after="0"/>
        <w:ind w:left="720"/>
        <w:contextualSpacing/>
        <w:jc w:val="both"/>
        <w:rPr>
          <w:rFonts w:ascii="Arial" w:eastAsia="Calibri" w:hAnsi="Arial" w:cs="Arial"/>
          <w:sz w:val="20"/>
          <w:szCs w:val="20"/>
          <w:lang w:eastAsia="es-CO"/>
        </w:rPr>
      </w:pPr>
    </w:p>
    <w:p w14:paraId="37FCB337" w14:textId="77777777" w:rsidR="00B71FFF" w:rsidRPr="00B71FFF" w:rsidRDefault="00B71FFF" w:rsidP="00B71FFF">
      <w:pPr>
        <w:tabs>
          <w:tab w:val="left" w:pos="910"/>
        </w:tabs>
        <w:spacing w:after="0"/>
        <w:jc w:val="both"/>
        <w:rPr>
          <w:rFonts w:ascii="Arial" w:eastAsia="Calibri" w:hAnsi="Arial" w:cs="Arial"/>
          <w:b/>
          <w:sz w:val="20"/>
          <w:szCs w:val="20"/>
          <w:lang w:eastAsia="es-CO"/>
        </w:rPr>
      </w:pPr>
      <w:r w:rsidRPr="00B71FFF">
        <w:rPr>
          <w:rFonts w:eastAsia="Cambria"/>
          <w:noProof/>
          <w:sz w:val="20"/>
          <w:szCs w:val="20"/>
          <w:lang w:eastAsia="es-ES"/>
        </w:rPr>
        <w:drawing>
          <wp:inline distT="0" distB="0" distL="0" distR="0" wp14:anchorId="644432B1" wp14:editId="31EEEF12">
            <wp:extent cx="5648325" cy="771525"/>
            <wp:effectExtent l="0" t="0" r="9525" b="952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25884" cy="782119"/>
                    </a:xfrm>
                    <a:prstGeom prst="rect">
                      <a:avLst/>
                    </a:prstGeom>
                    <a:noFill/>
                    <a:ln>
                      <a:noFill/>
                    </a:ln>
                  </pic:spPr>
                </pic:pic>
              </a:graphicData>
            </a:graphic>
          </wp:inline>
        </w:drawing>
      </w:r>
    </w:p>
    <w:p w14:paraId="6B5B0C2F" w14:textId="49EF61D7" w:rsidR="00B71FFF" w:rsidRDefault="004D028B" w:rsidP="00CB7B63">
      <w:pPr>
        <w:tabs>
          <w:tab w:val="left" w:pos="910"/>
        </w:tabs>
        <w:spacing w:after="0" w:line="259" w:lineRule="auto"/>
        <w:rPr>
          <w:rFonts w:ascii="Arial" w:eastAsia="Times New Roman" w:hAnsi="Arial" w:cs="Arial"/>
          <w:sz w:val="10"/>
          <w:szCs w:val="20"/>
          <w:lang w:eastAsia="es-ES"/>
        </w:rPr>
      </w:pPr>
      <w:r w:rsidRPr="004D028B">
        <w:rPr>
          <w:rFonts w:ascii="Arial" w:eastAsia="Times New Roman" w:hAnsi="Arial" w:cs="Arial"/>
          <w:sz w:val="10"/>
          <w:szCs w:val="20"/>
          <w:lang w:eastAsia="es-ES"/>
        </w:rPr>
        <w:t xml:space="preserve">Fuente: Matriz Ejecución Presupuestal </w:t>
      </w:r>
      <w:proofErr w:type="gramStart"/>
      <w:r>
        <w:rPr>
          <w:rFonts w:ascii="Arial" w:eastAsia="Times New Roman" w:hAnsi="Arial" w:cs="Arial"/>
          <w:sz w:val="10"/>
          <w:szCs w:val="20"/>
          <w:lang w:eastAsia="es-ES"/>
        </w:rPr>
        <w:t>Junio</w:t>
      </w:r>
      <w:proofErr w:type="gramEnd"/>
      <w:r>
        <w:rPr>
          <w:rFonts w:ascii="Arial" w:eastAsia="Times New Roman" w:hAnsi="Arial" w:cs="Arial"/>
          <w:sz w:val="10"/>
          <w:szCs w:val="20"/>
          <w:lang w:eastAsia="es-ES"/>
        </w:rPr>
        <w:t xml:space="preserve"> 2018 </w:t>
      </w:r>
      <w:r w:rsidR="00CB7B63">
        <w:rPr>
          <w:rFonts w:ascii="Arial" w:eastAsia="Times New Roman" w:hAnsi="Arial" w:cs="Arial"/>
          <w:sz w:val="10"/>
          <w:szCs w:val="20"/>
          <w:lang w:eastAsia="es-ES"/>
        </w:rPr>
        <w:t xml:space="preserve">TOTORO </w:t>
      </w:r>
    </w:p>
    <w:p w14:paraId="7F895B27" w14:textId="77777777" w:rsidR="00CB7B63" w:rsidRPr="00CB7B63" w:rsidRDefault="00CB7B63" w:rsidP="00CB7B63">
      <w:pPr>
        <w:tabs>
          <w:tab w:val="left" w:pos="910"/>
        </w:tabs>
        <w:spacing w:after="0" w:line="259" w:lineRule="auto"/>
        <w:rPr>
          <w:rFonts w:ascii="Arial" w:eastAsia="Times New Roman" w:hAnsi="Arial" w:cs="Arial"/>
          <w:sz w:val="10"/>
          <w:szCs w:val="20"/>
          <w:lang w:eastAsia="es-ES"/>
        </w:rPr>
      </w:pPr>
    </w:p>
    <w:p w14:paraId="1EEF5EAA" w14:textId="77777777" w:rsidR="00B71FFF" w:rsidRPr="00B71FFF" w:rsidRDefault="00B71FFF" w:rsidP="00B71FFF">
      <w:pPr>
        <w:tabs>
          <w:tab w:val="left" w:pos="910"/>
        </w:tabs>
        <w:spacing w:after="0"/>
        <w:jc w:val="both"/>
        <w:rPr>
          <w:rFonts w:ascii="Arial" w:eastAsia="Calibri" w:hAnsi="Arial" w:cs="Arial"/>
          <w:sz w:val="20"/>
          <w:szCs w:val="20"/>
          <w:lang w:val="es-CO" w:eastAsia="es-CO"/>
        </w:rPr>
      </w:pPr>
      <w:r w:rsidRPr="00B71FFF">
        <w:rPr>
          <w:rFonts w:ascii="Arial" w:eastAsia="Calibri" w:hAnsi="Arial" w:cs="Arial"/>
          <w:sz w:val="20"/>
          <w:szCs w:val="20"/>
          <w:lang w:val="es-CO" w:eastAsia="es-CO"/>
        </w:rPr>
        <w:t xml:space="preserve">El avance acumulado de este proyecto de inversión en el primer semestre de 2018 es del 25,81% en compromisos y 10,8% en obligaciones y pagos respecto a las apropiaciones vigentes. Están pendiente por comprometer $13.353.688.738. </w:t>
      </w:r>
    </w:p>
    <w:p w14:paraId="600F4F56" w14:textId="77777777" w:rsidR="00B71FFF" w:rsidRPr="00B71FFF" w:rsidRDefault="00B71FFF" w:rsidP="00B71FFF">
      <w:pPr>
        <w:spacing w:after="0"/>
        <w:jc w:val="both"/>
        <w:rPr>
          <w:rFonts w:ascii="Arial" w:eastAsia="Times New Roman" w:hAnsi="Arial" w:cs="Arial"/>
          <w:sz w:val="20"/>
          <w:szCs w:val="20"/>
          <w:lang w:val="es-CO" w:eastAsia="es-ES"/>
        </w:rPr>
      </w:pPr>
    </w:p>
    <w:p w14:paraId="46637D32" w14:textId="77777777" w:rsidR="00B71FFF" w:rsidRPr="00B71FFF" w:rsidRDefault="00B71FFF" w:rsidP="00B71FFF">
      <w:pPr>
        <w:spacing w:after="0"/>
        <w:jc w:val="both"/>
        <w:rPr>
          <w:rFonts w:ascii="Arial" w:eastAsia="Times New Roman" w:hAnsi="Arial" w:cs="Arial"/>
          <w:sz w:val="20"/>
          <w:szCs w:val="20"/>
          <w:lang w:val="es-CO" w:eastAsia="es-ES"/>
        </w:rPr>
      </w:pPr>
      <w:r w:rsidRPr="00B71FFF">
        <w:rPr>
          <w:rFonts w:ascii="Arial" w:eastAsia="Times New Roman" w:hAnsi="Arial" w:cs="Arial"/>
          <w:sz w:val="20"/>
          <w:szCs w:val="20"/>
          <w:lang w:val="es-CO" w:eastAsia="es-ES"/>
        </w:rPr>
        <w:t xml:space="preserve">Asimismo, según el reporte registrado en el esquema financiero del sistema de seguimiento a proyectos de inversión (SPI) del DNP, el proyecto presenta los siguientes avances: Financiero 10,85%; físico 5% y gestión 0%.  </w:t>
      </w:r>
    </w:p>
    <w:p w14:paraId="71C6B0AA" w14:textId="77777777" w:rsidR="00B71FFF" w:rsidRPr="00B71FFF" w:rsidRDefault="00B71FFF" w:rsidP="00B71FFF">
      <w:pPr>
        <w:spacing w:after="0"/>
        <w:jc w:val="both"/>
        <w:rPr>
          <w:rFonts w:ascii="Arial" w:eastAsia="Times New Roman" w:hAnsi="Arial" w:cs="Arial"/>
          <w:sz w:val="20"/>
          <w:szCs w:val="20"/>
          <w:lang w:val="es-CO" w:eastAsia="es-ES"/>
        </w:rPr>
      </w:pPr>
    </w:p>
    <w:p w14:paraId="6E74713A" w14:textId="77777777" w:rsidR="00B71FFF" w:rsidRPr="00B71FFF" w:rsidRDefault="00B71FFF" w:rsidP="00B71FFF">
      <w:pPr>
        <w:spacing w:after="0"/>
        <w:jc w:val="both"/>
        <w:rPr>
          <w:rFonts w:ascii="Arial" w:eastAsia="Times New Roman" w:hAnsi="Arial" w:cs="Arial"/>
          <w:sz w:val="20"/>
          <w:szCs w:val="20"/>
          <w:lang w:val="es-CO" w:eastAsia="es-ES"/>
        </w:rPr>
      </w:pPr>
      <w:r w:rsidRPr="00B71FFF">
        <w:rPr>
          <w:rFonts w:ascii="Arial" w:eastAsia="Times New Roman" w:hAnsi="Arial" w:cs="Arial"/>
          <w:sz w:val="20"/>
          <w:szCs w:val="20"/>
          <w:lang w:val="es-CO" w:eastAsia="es-ES"/>
        </w:rPr>
        <w:t xml:space="preserve">Dado lo anterior, esta oficina alerta a la dependencia responsable, ante una baja ejecución del 10,8% en obligaciones.  </w:t>
      </w:r>
    </w:p>
    <w:p w14:paraId="0428A780" w14:textId="77777777" w:rsidR="00B71FFF" w:rsidRPr="00B71FFF" w:rsidRDefault="00B71FFF" w:rsidP="00B71FFF">
      <w:pPr>
        <w:tabs>
          <w:tab w:val="left" w:pos="910"/>
        </w:tabs>
        <w:spacing w:after="0"/>
        <w:jc w:val="both"/>
        <w:rPr>
          <w:rFonts w:ascii="Arial" w:eastAsia="Calibri" w:hAnsi="Arial" w:cs="Arial"/>
          <w:b/>
          <w:sz w:val="20"/>
          <w:szCs w:val="20"/>
          <w:lang w:val="es-CO" w:eastAsia="es-CO"/>
        </w:rPr>
      </w:pPr>
    </w:p>
    <w:p w14:paraId="26AE7C7E" w14:textId="77777777" w:rsidR="00B71FFF" w:rsidRPr="006921AA" w:rsidRDefault="00B71FFF" w:rsidP="00BF519D">
      <w:pPr>
        <w:numPr>
          <w:ilvl w:val="0"/>
          <w:numId w:val="7"/>
        </w:numPr>
        <w:tabs>
          <w:tab w:val="left" w:pos="910"/>
        </w:tabs>
        <w:spacing w:after="0"/>
        <w:contextualSpacing/>
        <w:jc w:val="both"/>
        <w:rPr>
          <w:rFonts w:ascii="Arial" w:eastAsia="Calibri" w:hAnsi="Arial" w:cs="Arial"/>
          <w:sz w:val="20"/>
          <w:szCs w:val="20"/>
          <w:lang w:val="es-CO" w:eastAsia="es-CO"/>
        </w:rPr>
      </w:pPr>
      <w:r w:rsidRPr="006921AA">
        <w:rPr>
          <w:rFonts w:ascii="Arial" w:eastAsia="Calibri" w:hAnsi="Arial" w:cs="Arial"/>
          <w:sz w:val="20"/>
          <w:szCs w:val="20"/>
          <w:lang w:val="es-CO" w:eastAsia="es-CO"/>
        </w:rPr>
        <w:t xml:space="preserve">Apoyo a la implementación de medidas de reparación colectiva y reconstrucción social a nivel nacional. </w:t>
      </w:r>
    </w:p>
    <w:p w14:paraId="0EEAC0F2" w14:textId="77777777" w:rsidR="00B71FFF" w:rsidRPr="006921AA" w:rsidRDefault="00B71FFF" w:rsidP="00B71FFF">
      <w:pPr>
        <w:tabs>
          <w:tab w:val="left" w:pos="910"/>
        </w:tabs>
        <w:spacing w:after="0"/>
        <w:ind w:left="720"/>
        <w:contextualSpacing/>
        <w:jc w:val="both"/>
        <w:rPr>
          <w:rFonts w:ascii="Arial" w:eastAsia="Calibri" w:hAnsi="Arial" w:cs="Arial"/>
          <w:sz w:val="20"/>
          <w:szCs w:val="20"/>
          <w:lang w:val="es-CO" w:eastAsia="es-CO"/>
        </w:rPr>
      </w:pPr>
    </w:p>
    <w:p w14:paraId="5EF8CF37" w14:textId="77777777" w:rsidR="00B71FFF" w:rsidRPr="00B71FFF" w:rsidRDefault="00B71FFF" w:rsidP="00B71FFF">
      <w:pPr>
        <w:tabs>
          <w:tab w:val="left" w:pos="910"/>
        </w:tabs>
        <w:spacing w:after="0"/>
        <w:ind w:left="720"/>
        <w:contextualSpacing/>
        <w:jc w:val="both"/>
        <w:rPr>
          <w:rFonts w:ascii="Arial" w:eastAsia="Calibri" w:hAnsi="Arial" w:cs="Arial"/>
          <w:sz w:val="20"/>
          <w:szCs w:val="20"/>
          <w:lang w:eastAsia="es-CO"/>
        </w:rPr>
      </w:pPr>
      <w:r w:rsidRPr="00B71FFF">
        <w:rPr>
          <w:rFonts w:ascii="Arial" w:eastAsia="Calibri" w:hAnsi="Arial" w:cs="Arial"/>
          <w:sz w:val="20"/>
          <w:szCs w:val="20"/>
          <w:lang w:eastAsia="es-CO"/>
        </w:rPr>
        <w:t>Apropiación vigente: $8.247.000.000</w:t>
      </w:r>
    </w:p>
    <w:p w14:paraId="0A325FE1" w14:textId="77777777" w:rsidR="00B71FFF" w:rsidRPr="00B71FFF" w:rsidRDefault="00B71FFF" w:rsidP="00B71FFF">
      <w:pPr>
        <w:tabs>
          <w:tab w:val="left" w:pos="910"/>
        </w:tabs>
        <w:spacing w:after="0"/>
        <w:ind w:left="720"/>
        <w:contextualSpacing/>
        <w:jc w:val="both"/>
        <w:rPr>
          <w:rFonts w:ascii="Arial" w:eastAsia="Calibri" w:hAnsi="Arial" w:cs="Arial"/>
          <w:sz w:val="20"/>
          <w:szCs w:val="20"/>
          <w:lang w:eastAsia="es-CO"/>
        </w:rPr>
      </w:pPr>
    </w:p>
    <w:p w14:paraId="4994E79F" w14:textId="77777777" w:rsidR="00B71FFF" w:rsidRPr="00B71FFF" w:rsidRDefault="00B71FFF" w:rsidP="00B71FFF">
      <w:pPr>
        <w:tabs>
          <w:tab w:val="left" w:pos="910"/>
        </w:tabs>
        <w:spacing w:after="0"/>
        <w:jc w:val="both"/>
        <w:rPr>
          <w:rFonts w:ascii="Arial" w:eastAsia="Calibri" w:hAnsi="Arial" w:cs="Arial"/>
          <w:sz w:val="20"/>
          <w:szCs w:val="20"/>
          <w:lang w:val="es-CO" w:eastAsia="es-CO"/>
        </w:rPr>
      </w:pPr>
      <w:r w:rsidRPr="00B71FFF">
        <w:rPr>
          <w:rFonts w:eastAsia="Cambria"/>
          <w:noProof/>
          <w:sz w:val="20"/>
          <w:szCs w:val="20"/>
          <w:lang w:eastAsia="es-ES"/>
        </w:rPr>
        <w:drawing>
          <wp:inline distT="0" distB="0" distL="0" distR="0" wp14:anchorId="353454C1" wp14:editId="49EC2790">
            <wp:extent cx="5648325" cy="723900"/>
            <wp:effectExtent l="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04965" cy="731159"/>
                    </a:xfrm>
                    <a:prstGeom prst="rect">
                      <a:avLst/>
                    </a:prstGeom>
                    <a:noFill/>
                    <a:ln>
                      <a:noFill/>
                    </a:ln>
                  </pic:spPr>
                </pic:pic>
              </a:graphicData>
            </a:graphic>
          </wp:inline>
        </w:drawing>
      </w:r>
    </w:p>
    <w:p w14:paraId="694A48E7" w14:textId="1C98C740" w:rsidR="00B71FFF" w:rsidRDefault="004D028B" w:rsidP="00CB7B63">
      <w:pPr>
        <w:tabs>
          <w:tab w:val="left" w:pos="910"/>
        </w:tabs>
        <w:spacing w:after="0" w:line="259" w:lineRule="auto"/>
        <w:rPr>
          <w:rFonts w:ascii="Arial" w:eastAsia="Times New Roman" w:hAnsi="Arial" w:cs="Arial"/>
          <w:sz w:val="10"/>
          <w:szCs w:val="20"/>
          <w:lang w:eastAsia="es-ES"/>
        </w:rPr>
      </w:pPr>
      <w:r w:rsidRPr="004D028B">
        <w:rPr>
          <w:rFonts w:ascii="Arial" w:eastAsia="Times New Roman" w:hAnsi="Arial" w:cs="Arial"/>
          <w:sz w:val="10"/>
          <w:szCs w:val="20"/>
          <w:lang w:eastAsia="es-ES"/>
        </w:rPr>
        <w:t xml:space="preserve">Fuente: Matriz Ejecución Presupuestal </w:t>
      </w:r>
      <w:proofErr w:type="gramStart"/>
      <w:r>
        <w:rPr>
          <w:rFonts w:ascii="Arial" w:eastAsia="Times New Roman" w:hAnsi="Arial" w:cs="Arial"/>
          <w:sz w:val="10"/>
          <w:szCs w:val="20"/>
          <w:lang w:eastAsia="es-ES"/>
        </w:rPr>
        <w:t>Junio</w:t>
      </w:r>
      <w:proofErr w:type="gramEnd"/>
      <w:r>
        <w:rPr>
          <w:rFonts w:ascii="Arial" w:eastAsia="Times New Roman" w:hAnsi="Arial" w:cs="Arial"/>
          <w:sz w:val="10"/>
          <w:szCs w:val="20"/>
          <w:lang w:eastAsia="es-ES"/>
        </w:rPr>
        <w:t xml:space="preserve"> 2018 </w:t>
      </w:r>
      <w:r w:rsidRPr="004D028B">
        <w:rPr>
          <w:rFonts w:ascii="Arial" w:eastAsia="Times New Roman" w:hAnsi="Arial" w:cs="Arial"/>
          <w:sz w:val="10"/>
          <w:szCs w:val="20"/>
          <w:lang w:eastAsia="es-ES"/>
        </w:rPr>
        <w:t>T</w:t>
      </w:r>
      <w:r w:rsidR="00CB7B63">
        <w:rPr>
          <w:rFonts w:ascii="Arial" w:eastAsia="Times New Roman" w:hAnsi="Arial" w:cs="Arial"/>
          <w:sz w:val="10"/>
          <w:szCs w:val="20"/>
          <w:lang w:eastAsia="es-ES"/>
        </w:rPr>
        <w:t xml:space="preserve">OTORO </w:t>
      </w:r>
    </w:p>
    <w:p w14:paraId="2C20AB4E" w14:textId="77777777" w:rsidR="00CB7B63" w:rsidRPr="00CB7B63" w:rsidRDefault="00CB7B63" w:rsidP="00CB7B63">
      <w:pPr>
        <w:tabs>
          <w:tab w:val="left" w:pos="910"/>
        </w:tabs>
        <w:spacing w:after="0" w:line="259" w:lineRule="auto"/>
        <w:rPr>
          <w:rFonts w:ascii="Arial" w:eastAsia="Times New Roman" w:hAnsi="Arial" w:cs="Arial"/>
          <w:sz w:val="10"/>
          <w:szCs w:val="20"/>
          <w:lang w:eastAsia="es-ES"/>
        </w:rPr>
      </w:pPr>
    </w:p>
    <w:p w14:paraId="61DBC213" w14:textId="77777777" w:rsidR="00B71FFF" w:rsidRPr="00B71FFF" w:rsidRDefault="00B71FFF" w:rsidP="00B71FFF">
      <w:pPr>
        <w:tabs>
          <w:tab w:val="left" w:pos="910"/>
        </w:tabs>
        <w:spacing w:after="0"/>
        <w:jc w:val="both"/>
        <w:rPr>
          <w:rFonts w:ascii="Arial" w:eastAsia="Calibri" w:hAnsi="Arial" w:cs="Arial"/>
          <w:sz w:val="20"/>
          <w:szCs w:val="20"/>
          <w:lang w:val="es-CO" w:eastAsia="es-CO"/>
        </w:rPr>
      </w:pPr>
      <w:r w:rsidRPr="00B71FFF">
        <w:rPr>
          <w:rFonts w:ascii="Arial" w:eastAsia="Times New Roman" w:hAnsi="Arial" w:cs="Arial"/>
          <w:sz w:val="20"/>
          <w:szCs w:val="20"/>
          <w:lang w:eastAsia="es-ES"/>
        </w:rPr>
        <w:t xml:space="preserve">Finalizado el primer semestre de 2018, este Proyecto de Inversión </w:t>
      </w:r>
      <w:r w:rsidRPr="00B71FFF">
        <w:rPr>
          <w:rFonts w:ascii="Arial" w:eastAsia="Calibri" w:hAnsi="Arial" w:cs="Arial"/>
          <w:sz w:val="20"/>
          <w:szCs w:val="20"/>
          <w:lang w:val="es-CO" w:eastAsia="es-CO"/>
        </w:rPr>
        <w:t>registra un avance acumulado del 78,90% en compromisos y 9,2% tanto en obligaciones como en pagos respecto a las apropiaciones vigentes. Por consiguiente, tienen pendiente por comprometer $1.745.742.042.</w:t>
      </w:r>
    </w:p>
    <w:p w14:paraId="46B12BEB" w14:textId="77777777" w:rsidR="00B71FFF" w:rsidRPr="00B71FFF" w:rsidRDefault="00B71FFF" w:rsidP="00B71FFF">
      <w:pPr>
        <w:tabs>
          <w:tab w:val="left" w:pos="910"/>
        </w:tabs>
        <w:spacing w:after="0"/>
        <w:jc w:val="both"/>
        <w:rPr>
          <w:rFonts w:ascii="Arial" w:eastAsia="Times New Roman" w:hAnsi="Arial" w:cs="Arial"/>
          <w:sz w:val="20"/>
          <w:szCs w:val="20"/>
          <w:lang w:eastAsia="es-ES"/>
        </w:rPr>
      </w:pPr>
    </w:p>
    <w:p w14:paraId="15EEA81F" w14:textId="77777777" w:rsidR="00B71FFF" w:rsidRPr="00B71FFF" w:rsidRDefault="00B71FFF" w:rsidP="00B71FFF">
      <w:pPr>
        <w:spacing w:after="0"/>
        <w:jc w:val="both"/>
        <w:rPr>
          <w:rFonts w:ascii="Arial" w:eastAsia="Times New Roman" w:hAnsi="Arial" w:cs="Arial"/>
          <w:sz w:val="20"/>
          <w:szCs w:val="20"/>
          <w:lang w:val="es-CO" w:eastAsia="es-ES"/>
        </w:rPr>
      </w:pPr>
      <w:r w:rsidRPr="00B71FFF">
        <w:rPr>
          <w:rFonts w:ascii="Arial" w:eastAsia="Times New Roman" w:hAnsi="Arial" w:cs="Arial"/>
          <w:sz w:val="20"/>
          <w:szCs w:val="20"/>
          <w:lang w:val="es-CO" w:eastAsia="es-ES"/>
        </w:rPr>
        <w:t xml:space="preserve">Según reporte registrado en el esquema financiero del sistema de seguimiento a proyectos de inversión (SPI) del DNP, este proyecto presenta los siguientes avances: Financiero 9,23%; físico 0% y gestión 0%.  </w:t>
      </w:r>
    </w:p>
    <w:p w14:paraId="7FB46741" w14:textId="77777777" w:rsidR="00B71FFF" w:rsidRPr="00B71FFF" w:rsidRDefault="00B71FFF" w:rsidP="00B71FFF">
      <w:pPr>
        <w:spacing w:after="0"/>
        <w:jc w:val="both"/>
        <w:rPr>
          <w:rFonts w:ascii="Arial" w:eastAsia="Times New Roman" w:hAnsi="Arial" w:cs="Arial"/>
          <w:sz w:val="20"/>
          <w:szCs w:val="20"/>
          <w:lang w:val="es-CO" w:eastAsia="es-ES"/>
        </w:rPr>
      </w:pPr>
    </w:p>
    <w:p w14:paraId="46EA1915" w14:textId="77777777" w:rsidR="00B71FFF" w:rsidRPr="00B71FFF" w:rsidRDefault="00B71FFF" w:rsidP="00B71FFF">
      <w:pPr>
        <w:spacing w:after="0"/>
        <w:jc w:val="both"/>
        <w:rPr>
          <w:rFonts w:ascii="Arial" w:eastAsia="Times New Roman" w:hAnsi="Arial" w:cs="Arial"/>
          <w:sz w:val="20"/>
          <w:szCs w:val="20"/>
          <w:lang w:val="es-CO" w:eastAsia="es-ES"/>
        </w:rPr>
      </w:pPr>
      <w:r w:rsidRPr="00B71FFF">
        <w:rPr>
          <w:rFonts w:ascii="Arial" w:eastAsia="Times New Roman" w:hAnsi="Arial" w:cs="Arial"/>
          <w:sz w:val="20"/>
          <w:szCs w:val="20"/>
          <w:lang w:val="es-CO" w:eastAsia="es-ES"/>
        </w:rPr>
        <w:t xml:space="preserve">En razón a lo anterior, la OCI alerta a la dependencia responsable, ante una baja ejecución del 9,2% en obligaciones.  </w:t>
      </w:r>
    </w:p>
    <w:p w14:paraId="1DD106D5" w14:textId="77777777" w:rsidR="00B71FFF" w:rsidRPr="00B71FFF" w:rsidRDefault="00B71FFF" w:rsidP="00B71FFF">
      <w:pPr>
        <w:spacing w:after="0"/>
        <w:jc w:val="both"/>
        <w:rPr>
          <w:rFonts w:ascii="Arial" w:eastAsia="Times New Roman" w:hAnsi="Arial" w:cs="Arial"/>
          <w:sz w:val="20"/>
          <w:szCs w:val="20"/>
          <w:lang w:val="es-CO" w:eastAsia="es-ES"/>
        </w:rPr>
      </w:pPr>
    </w:p>
    <w:p w14:paraId="76FFE8CD" w14:textId="77777777" w:rsidR="00B71FFF" w:rsidRPr="006921AA" w:rsidRDefault="00B71FFF" w:rsidP="00BF519D">
      <w:pPr>
        <w:numPr>
          <w:ilvl w:val="0"/>
          <w:numId w:val="7"/>
        </w:numPr>
        <w:tabs>
          <w:tab w:val="left" w:pos="284"/>
          <w:tab w:val="left" w:pos="567"/>
          <w:tab w:val="left" w:pos="910"/>
        </w:tabs>
        <w:spacing w:after="0"/>
        <w:ind w:left="567" w:hanging="349"/>
        <w:contextualSpacing/>
        <w:jc w:val="both"/>
        <w:rPr>
          <w:rFonts w:ascii="Arial" w:eastAsia="Calibri" w:hAnsi="Arial" w:cs="Arial"/>
          <w:sz w:val="20"/>
          <w:szCs w:val="20"/>
          <w:lang w:val="es-CO" w:eastAsia="es-CO"/>
        </w:rPr>
      </w:pPr>
      <w:r w:rsidRPr="006921AA">
        <w:rPr>
          <w:rFonts w:ascii="Arial" w:eastAsia="Calibri" w:hAnsi="Arial" w:cs="Arial"/>
          <w:sz w:val="20"/>
          <w:szCs w:val="20"/>
          <w:lang w:val="es-CO" w:eastAsia="es-CO"/>
        </w:rPr>
        <w:t>Incorporación del enfoque diferencial étnico en la política pública de víctimas   a nivel nacional.</w:t>
      </w:r>
    </w:p>
    <w:p w14:paraId="5292EEFE" w14:textId="77777777" w:rsidR="00B71FFF" w:rsidRPr="00B71FFF" w:rsidRDefault="00B71FFF" w:rsidP="00B71FFF">
      <w:pPr>
        <w:tabs>
          <w:tab w:val="left" w:pos="284"/>
          <w:tab w:val="left" w:pos="567"/>
          <w:tab w:val="left" w:pos="910"/>
        </w:tabs>
        <w:spacing w:after="0"/>
        <w:ind w:left="567"/>
        <w:contextualSpacing/>
        <w:jc w:val="both"/>
        <w:rPr>
          <w:rFonts w:ascii="Arial" w:eastAsia="Calibri" w:hAnsi="Arial" w:cs="Arial"/>
          <w:b/>
          <w:sz w:val="20"/>
          <w:szCs w:val="20"/>
          <w:lang w:val="es-CO" w:eastAsia="es-CO"/>
        </w:rPr>
      </w:pPr>
    </w:p>
    <w:p w14:paraId="69E75D1D" w14:textId="74B5F6DA" w:rsidR="00B71FFF" w:rsidRPr="00B71FFF" w:rsidRDefault="00B71FFF" w:rsidP="00B71FFF">
      <w:pPr>
        <w:tabs>
          <w:tab w:val="left" w:pos="910"/>
        </w:tabs>
        <w:spacing w:after="0"/>
        <w:jc w:val="both"/>
        <w:rPr>
          <w:rFonts w:ascii="Arial" w:eastAsia="Calibri" w:hAnsi="Arial" w:cs="Arial"/>
          <w:sz w:val="20"/>
          <w:szCs w:val="20"/>
          <w:lang w:eastAsia="es-CO"/>
        </w:rPr>
      </w:pPr>
      <w:r w:rsidRPr="00B71FFF">
        <w:rPr>
          <w:rFonts w:ascii="Arial" w:eastAsia="Calibri" w:hAnsi="Arial" w:cs="Arial"/>
          <w:sz w:val="20"/>
          <w:szCs w:val="20"/>
          <w:lang w:eastAsia="es-CO"/>
        </w:rPr>
        <w:t xml:space="preserve">        Apropiación vigente: $</w:t>
      </w:r>
      <w:r w:rsidR="002D505E">
        <w:rPr>
          <w:rFonts w:ascii="Arial" w:eastAsia="Calibri" w:hAnsi="Arial" w:cs="Arial"/>
          <w:sz w:val="20"/>
          <w:szCs w:val="20"/>
          <w:lang w:eastAsia="es-CO"/>
        </w:rPr>
        <w:t xml:space="preserve"> </w:t>
      </w:r>
      <w:r w:rsidRPr="00B71FFF">
        <w:rPr>
          <w:rFonts w:ascii="Arial" w:eastAsia="Calibri" w:hAnsi="Arial" w:cs="Arial"/>
          <w:sz w:val="20"/>
          <w:szCs w:val="20"/>
          <w:lang w:eastAsia="es-CO"/>
        </w:rPr>
        <w:t>5.000.000.000</w:t>
      </w:r>
    </w:p>
    <w:p w14:paraId="6BEC0F61" w14:textId="77777777" w:rsidR="00B71FFF" w:rsidRPr="00B71FFF" w:rsidRDefault="00B71FFF" w:rsidP="00B71FFF">
      <w:pPr>
        <w:tabs>
          <w:tab w:val="left" w:pos="284"/>
          <w:tab w:val="left" w:pos="567"/>
          <w:tab w:val="left" w:pos="910"/>
        </w:tabs>
        <w:spacing w:after="0"/>
        <w:ind w:left="567"/>
        <w:contextualSpacing/>
        <w:jc w:val="both"/>
        <w:rPr>
          <w:rFonts w:ascii="Arial" w:eastAsia="Calibri" w:hAnsi="Arial" w:cs="Arial"/>
          <w:b/>
          <w:sz w:val="20"/>
          <w:szCs w:val="20"/>
          <w:lang w:val="es-CO" w:eastAsia="es-CO"/>
        </w:rPr>
      </w:pPr>
    </w:p>
    <w:p w14:paraId="5A16E104" w14:textId="77777777" w:rsidR="00B71FFF" w:rsidRPr="00B71FFF" w:rsidRDefault="00B71FFF" w:rsidP="00B71FFF">
      <w:pPr>
        <w:spacing w:after="0"/>
        <w:jc w:val="both"/>
        <w:rPr>
          <w:rFonts w:ascii="Arial" w:eastAsia="Times New Roman" w:hAnsi="Arial" w:cs="Arial"/>
          <w:sz w:val="20"/>
          <w:szCs w:val="20"/>
          <w:lang w:val="es-CO" w:eastAsia="es-ES"/>
        </w:rPr>
      </w:pPr>
      <w:r w:rsidRPr="00B71FFF">
        <w:rPr>
          <w:rFonts w:eastAsia="Cambria"/>
          <w:noProof/>
          <w:sz w:val="20"/>
          <w:szCs w:val="20"/>
          <w:lang w:eastAsia="es-ES"/>
        </w:rPr>
        <w:lastRenderedPageBreak/>
        <w:drawing>
          <wp:inline distT="0" distB="0" distL="0" distR="0" wp14:anchorId="3D0151FE" wp14:editId="33FCC09F">
            <wp:extent cx="5572125" cy="704850"/>
            <wp:effectExtent l="0" t="0" r="9525"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633173" cy="712572"/>
                    </a:xfrm>
                    <a:prstGeom prst="rect">
                      <a:avLst/>
                    </a:prstGeom>
                    <a:noFill/>
                    <a:ln>
                      <a:noFill/>
                    </a:ln>
                  </pic:spPr>
                </pic:pic>
              </a:graphicData>
            </a:graphic>
          </wp:inline>
        </w:drawing>
      </w:r>
    </w:p>
    <w:p w14:paraId="2227317D" w14:textId="7DF1B2B3" w:rsidR="00B71FFF" w:rsidRDefault="004D028B" w:rsidP="00CB7B63">
      <w:pPr>
        <w:tabs>
          <w:tab w:val="left" w:pos="910"/>
        </w:tabs>
        <w:spacing w:after="0" w:line="259" w:lineRule="auto"/>
        <w:rPr>
          <w:rFonts w:ascii="Arial" w:eastAsia="Times New Roman" w:hAnsi="Arial" w:cs="Arial"/>
          <w:sz w:val="10"/>
          <w:szCs w:val="20"/>
          <w:lang w:eastAsia="es-ES"/>
        </w:rPr>
      </w:pPr>
      <w:r w:rsidRPr="004D028B">
        <w:rPr>
          <w:rFonts w:ascii="Arial" w:eastAsia="Times New Roman" w:hAnsi="Arial" w:cs="Arial"/>
          <w:sz w:val="10"/>
          <w:szCs w:val="20"/>
          <w:lang w:eastAsia="es-ES"/>
        </w:rPr>
        <w:t xml:space="preserve">Fuente: Matriz Ejecución Presupuestal </w:t>
      </w:r>
      <w:proofErr w:type="gramStart"/>
      <w:r>
        <w:rPr>
          <w:rFonts w:ascii="Arial" w:eastAsia="Times New Roman" w:hAnsi="Arial" w:cs="Arial"/>
          <w:sz w:val="10"/>
          <w:szCs w:val="20"/>
          <w:lang w:eastAsia="es-ES"/>
        </w:rPr>
        <w:t>Junio</w:t>
      </w:r>
      <w:proofErr w:type="gramEnd"/>
      <w:r>
        <w:rPr>
          <w:rFonts w:ascii="Arial" w:eastAsia="Times New Roman" w:hAnsi="Arial" w:cs="Arial"/>
          <w:sz w:val="10"/>
          <w:szCs w:val="20"/>
          <w:lang w:eastAsia="es-ES"/>
        </w:rPr>
        <w:t xml:space="preserve"> 2018 </w:t>
      </w:r>
      <w:r w:rsidR="00CB7B63">
        <w:rPr>
          <w:rFonts w:ascii="Arial" w:eastAsia="Times New Roman" w:hAnsi="Arial" w:cs="Arial"/>
          <w:sz w:val="10"/>
          <w:szCs w:val="20"/>
          <w:lang w:eastAsia="es-ES"/>
        </w:rPr>
        <w:t xml:space="preserve">TOTORO </w:t>
      </w:r>
    </w:p>
    <w:p w14:paraId="3C618BC4" w14:textId="77777777" w:rsidR="00CB7B63" w:rsidRPr="00CB7B63" w:rsidRDefault="00CB7B63" w:rsidP="00CB7B63">
      <w:pPr>
        <w:tabs>
          <w:tab w:val="left" w:pos="910"/>
        </w:tabs>
        <w:spacing w:after="0" w:line="259" w:lineRule="auto"/>
        <w:rPr>
          <w:rFonts w:ascii="Arial" w:eastAsia="Times New Roman" w:hAnsi="Arial" w:cs="Arial"/>
          <w:sz w:val="10"/>
          <w:szCs w:val="20"/>
          <w:lang w:eastAsia="es-ES"/>
        </w:rPr>
      </w:pPr>
    </w:p>
    <w:p w14:paraId="54A2452D" w14:textId="77777777" w:rsidR="00B71FFF" w:rsidRPr="00F26454" w:rsidRDefault="00B71FFF" w:rsidP="00B71FFF">
      <w:pPr>
        <w:spacing w:after="0"/>
        <w:jc w:val="both"/>
        <w:rPr>
          <w:rFonts w:ascii="Arial" w:eastAsia="Times New Roman" w:hAnsi="Arial" w:cs="Arial"/>
          <w:sz w:val="20"/>
          <w:szCs w:val="20"/>
          <w:lang w:val="es-CO" w:eastAsia="es-ES"/>
        </w:rPr>
      </w:pPr>
      <w:r w:rsidRPr="00F26454">
        <w:rPr>
          <w:rFonts w:ascii="Arial" w:eastAsia="Times New Roman" w:hAnsi="Arial" w:cs="Arial"/>
          <w:sz w:val="20"/>
          <w:szCs w:val="20"/>
          <w:lang w:val="es-CO" w:eastAsia="es-ES"/>
        </w:rPr>
        <w:t>Terminado el primer semestre de 2018, este Proyecto de Inversión registra un avance acumulado del 44,21% en compromisos y 17,8% en obligaciones y pagos respecto a las apropiaciones vigentes. Así mismo, están pendientes por comprometer $2.789.437.642.</w:t>
      </w:r>
    </w:p>
    <w:p w14:paraId="7044B519" w14:textId="77777777" w:rsidR="00B71FFF" w:rsidRPr="00B71FFF" w:rsidRDefault="00B71FFF" w:rsidP="00B71FFF">
      <w:pPr>
        <w:tabs>
          <w:tab w:val="left" w:pos="910"/>
        </w:tabs>
        <w:spacing w:after="0"/>
        <w:jc w:val="both"/>
        <w:rPr>
          <w:rFonts w:ascii="Arial" w:eastAsia="Calibri" w:hAnsi="Arial" w:cs="Arial"/>
          <w:b/>
          <w:sz w:val="20"/>
          <w:szCs w:val="20"/>
          <w:lang w:val="es-CO" w:eastAsia="es-CO"/>
        </w:rPr>
      </w:pPr>
    </w:p>
    <w:p w14:paraId="16E4738D" w14:textId="77777777" w:rsidR="00B71FFF" w:rsidRPr="00B71FFF" w:rsidRDefault="00B71FFF" w:rsidP="00B71FFF">
      <w:pPr>
        <w:spacing w:after="0"/>
        <w:jc w:val="both"/>
        <w:rPr>
          <w:rFonts w:ascii="Arial" w:eastAsia="Times New Roman" w:hAnsi="Arial" w:cs="Arial"/>
          <w:sz w:val="20"/>
          <w:szCs w:val="20"/>
          <w:lang w:val="es-CO" w:eastAsia="es-ES"/>
        </w:rPr>
      </w:pPr>
      <w:r w:rsidRPr="00B71FFF">
        <w:rPr>
          <w:rFonts w:ascii="Arial" w:eastAsia="Times New Roman" w:hAnsi="Arial" w:cs="Arial"/>
          <w:sz w:val="20"/>
          <w:szCs w:val="20"/>
          <w:lang w:val="es-CO" w:eastAsia="es-ES"/>
        </w:rPr>
        <w:t xml:space="preserve">De igual manera, según información registrada en el esquema financiero del sistema de seguimiento a proyectos de inversión (SPI) del DNP, este proyecto presenta los siguientes avances: Financiero 17,76%; físico 18% y gestión 7%.  </w:t>
      </w:r>
    </w:p>
    <w:p w14:paraId="55319840" w14:textId="77777777" w:rsidR="00B71FFF" w:rsidRPr="00B71FFF" w:rsidRDefault="00B71FFF" w:rsidP="00B71FFF">
      <w:pPr>
        <w:tabs>
          <w:tab w:val="left" w:pos="910"/>
        </w:tabs>
        <w:spacing w:after="0"/>
        <w:jc w:val="both"/>
        <w:rPr>
          <w:rFonts w:ascii="Arial" w:eastAsia="Calibri" w:hAnsi="Arial" w:cs="Arial"/>
          <w:b/>
          <w:sz w:val="20"/>
          <w:szCs w:val="20"/>
          <w:lang w:val="es-CO" w:eastAsia="es-CO"/>
        </w:rPr>
      </w:pPr>
    </w:p>
    <w:p w14:paraId="6AAAB9A5" w14:textId="77777777" w:rsidR="00B71FFF" w:rsidRPr="00B71FFF" w:rsidRDefault="00B71FFF" w:rsidP="00B71FFF">
      <w:pPr>
        <w:tabs>
          <w:tab w:val="left" w:pos="910"/>
        </w:tabs>
        <w:spacing w:after="0"/>
        <w:jc w:val="both"/>
        <w:rPr>
          <w:rFonts w:ascii="Arial" w:eastAsia="Calibri" w:hAnsi="Arial" w:cs="Arial"/>
          <w:sz w:val="20"/>
          <w:szCs w:val="20"/>
          <w:lang w:val="es-CO" w:eastAsia="es-CO"/>
        </w:rPr>
      </w:pPr>
      <w:r w:rsidRPr="00B71FFF">
        <w:rPr>
          <w:rFonts w:ascii="Arial" w:eastAsia="Calibri" w:hAnsi="Arial" w:cs="Arial"/>
          <w:sz w:val="20"/>
          <w:szCs w:val="20"/>
          <w:lang w:val="es-CO" w:eastAsia="es-CO"/>
        </w:rPr>
        <w:t>Por lo anterior, esta oficina alerta a la dependencia que tiene a su cargo este proyecto, ante una baja ejecución del 17,8% en obligaciones.</w:t>
      </w:r>
    </w:p>
    <w:p w14:paraId="32A0EC73" w14:textId="77777777" w:rsidR="00B71FFF" w:rsidRPr="00B71FFF" w:rsidRDefault="00B71FFF" w:rsidP="00B71FFF">
      <w:pPr>
        <w:tabs>
          <w:tab w:val="left" w:pos="910"/>
        </w:tabs>
        <w:spacing w:after="0"/>
        <w:jc w:val="both"/>
        <w:rPr>
          <w:rFonts w:ascii="Arial" w:eastAsia="Calibri" w:hAnsi="Arial" w:cs="Arial"/>
          <w:sz w:val="20"/>
          <w:szCs w:val="20"/>
          <w:lang w:val="es-CO" w:eastAsia="es-CO"/>
        </w:rPr>
      </w:pPr>
    </w:p>
    <w:p w14:paraId="629BB4C4" w14:textId="77777777" w:rsidR="00B71FFF" w:rsidRPr="006921AA" w:rsidRDefault="00B71FFF" w:rsidP="00BF519D">
      <w:pPr>
        <w:numPr>
          <w:ilvl w:val="0"/>
          <w:numId w:val="7"/>
        </w:numPr>
        <w:spacing w:after="0"/>
        <w:contextualSpacing/>
        <w:jc w:val="both"/>
        <w:rPr>
          <w:rFonts w:ascii="Arial" w:eastAsia="Calibri" w:hAnsi="Arial" w:cs="Arial"/>
          <w:sz w:val="20"/>
          <w:szCs w:val="20"/>
          <w:lang w:val="es-CO" w:eastAsia="es-CO"/>
        </w:rPr>
      </w:pPr>
      <w:r w:rsidRPr="006921AA">
        <w:rPr>
          <w:rFonts w:ascii="Arial" w:eastAsia="Calibri" w:hAnsi="Arial" w:cs="Arial"/>
          <w:sz w:val="20"/>
          <w:szCs w:val="20"/>
          <w:lang w:val="es-CO" w:eastAsia="es-CO"/>
        </w:rPr>
        <w:t xml:space="preserve">Conservación, organización, digitalización e indexación de los documentos    de las víctimas del conflicto armado a nivel nacional.  </w:t>
      </w:r>
    </w:p>
    <w:p w14:paraId="0A72BDDD" w14:textId="77777777" w:rsidR="00B71FFF" w:rsidRPr="006921AA" w:rsidRDefault="00B71FFF" w:rsidP="00B71FFF">
      <w:pPr>
        <w:tabs>
          <w:tab w:val="left" w:pos="284"/>
          <w:tab w:val="left" w:pos="851"/>
        </w:tabs>
        <w:spacing w:after="0"/>
        <w:ind w:left="567"/>
        <w:contextualSpacing/>
        <w:jc w:val="both"/>
        <w:rPr>
          <w:rFonts w:ascii="Arial" w:eastAsia="Calibri" w:hAnsi="Arial" w:cs="Arial"/>
          <w:sz w:val="20"/>
          <w:szCs w:val="20"/>
          <w:lang w:val="es-CO" w:eastAsia="es-CO"/>
        </w:rPr>
      </w:pPr>
    </w:p>
    <w:p w14:paraId="6EEA8805" w14:textId="03CBF971" w:rsidR="00B71FFF" w:rsidRPr="00B71FFF" w:rsidRDefault="00B71FFF" w:rsidP="00B71FFF">
      <w:pPr>
        <w:tabs>
          <w:tab w:val="left" w:pos="284"/>
          <w:tab w:val="left" w:pos="851"/>
        </w:tabs>
        <w:spacing w:after="0"/>
        <w:ind w:left="567"/>
        <w:contextualSpacing/>
        <w:jc w:val="both"/>
        <w:rPr>
          <w:rFonts w:ascii="Arial" w:eastAsia="Calibri" w:hAnsi="Arial" w:cs="Arial"/>
          <w:sz w:val="20"/>
          <w:szCs w:val="20"/>
          <w:lang w:eastAsia="es-CO"/>
        </w:rPr>
      </w:pPr>
      <w:r w:rsidRPr="00B71FFF">
        <w:rPr>
          <w:rFonts w:ascii="Arial" w:eastAsia="Calibri" w:hAnsi="Arial" w:cs="Arial"/>
          <w:sz w:val="20"/>
          <w:szCs w:val="20"/>
          <w:lang w:eastAsia="es-CO"/>
        </w:rPr>
        <w:t>Apropiación vigente: $</w:t>
      </w:r>
      <w:r w:rsidR="002D505E">
        <w:rPr>
          <w:rFonts w:ascii="Arial" w:eastAsia="Calibri" w:hAnsi="Arial" w:cs="Arial"/>
          <w:sz w:val="20"/>
          <w:szCs w:val="20"/>
          <w:lang w:eastAsia="es-CO"/>
        </w:rPr>
        <w:t xml:space="preserve"> </w:t>
      </w:r>
      <w:r w:rsidRPr="00B71FFF">
        <w:rPr>
          <w:rFonts w:ascii="Arial" w:eastAsia="Calibri" w:hAnsi="Arial" w:cs="Arial"/>
          <w:sz w:val="20"/>
          <w:szCs w:val="20"/>
          <w:lang w:eastAsia="es-CO"/>
        </w:rPr>
        <w:t>53.900.000.000</w:t>
      </w:r>
    </w:p>
    <w:p w14:paraId="3671259F" w14:textId="77777777" w:rsidR="00B71FFF" w:rsidRPr="00B71FFF" w:rsidRDefault="00B71FFF" w:rsidP="00B71FFF">
      <w:pPr>
        <w:tabs>
          <w:tab w:val="left" w:pos="284"/>
          <w:tab w:val="left" w:pos="851"/>
        </w:tabs>
        <w:spacing w:after="0"/>
        <w:ind w:left="567"/>
        <w:contextualSpacing/>
        <w:jc w:val="both"/>
        <w:rPr>
          <w:rFonts w:ascii="Arial" w:eastAsia="Calibri" w:hAnsi="Arial" w:cs="Arial"/>
          <w:b/>
          <w:sz w:val="20"/>
          <w:szCs w:val="20"/>
          <w:lang w:val="es-CO" w:eastAsia="es-CO"/>
        </w:rPr>
      </w:pPr>
    </w:p>
    <w:p w14:paraId="2DBD1DB4" w14:textId="77777777" w:rsidR="00B71FFF" w:rsidRPr="00B71FFF" w:rsidRDefault="00B71FFF" w:rsidP="00B71FFF">
      <w:pPr>
        <w:tabs>
          <w:tab w:val="left" w:pos="910"/>
        </w:tabs>
        <w:spacing w:after="0"/>
        <w:jc w:val="both"/>
        <w:rPr>
          <w:rFonts w:ascii="Arial" w:eastAsia="Times New Roman" w:hAnsi="Arial" w:cs="Arial"/>
          <w:sz w:val="20"/>
          <w:szCs w:val="20"/>
          <w:lang w:eastAsia="es-ES"/>
        </w:rPr>
      </w:pPr>
      <w:r w:rsidRPr="00B71FFF">
        <w:rPr>
          <w:rFonts w:eastAsia="Cambria"/>
          <w:noProof/>
          <w:sz w:val="20"/>
          <w:szCs w:val="20"/>
          <w:lang w:eastAsia="es-ES"/>
        </w:rPr>
        <w:drawing>
          <wp:inline distT="0" distB="0" distL="0" distR="0" wp14:anchorId="55E5EA74" wp14:editId="47EB6A23">
            <wp:extent cx="5600700" cy="809625"/>
            <wp:effectExtent l="0" t="0" r="0" b="952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17082" cy="826449"/>
                    </a:xfrm>
                    <a:prstGeom prst="rect">
                      <a:avLst/>
                    </a:prstGeom>
                    <a:noFill/>
                    <a:ln>
                      <a:noFill/>
                    </a:ln>
                  </pic:spPr>
                </pic:pic>
              </a:graphicData>
            </a:graphic>
          </wp:inline>
        </w:drawing>
      </w:r>
    </w:p>
    <w:p w14:paraId="4421622D" w14:textId="17A6F6FC" w:rsidR="00B71FFF" w:rsidRDefault="004D028B" w:rsidP="00CB7B63">
      <w:pPr>
        <w:tabs>
          <w:tab w:val="left" w:pos="910"/>
        </w:tabs>
        <w:spacing w:after="0" w:line="259" w:lineRule="auto"/>
        <w:rPr>
          <w:rFonts w:ascii="Arial" w:eastAsia="Times New Roman" w:hAnsi="Arial" w:cs="Arial"/>
          <w:sz w:val="10"/>
          <w:szCs w:val="20"/>
          <w:lang w:eastAsia="es-ES"/>
        </w:rPr>
      </w:pPr>
      <w:r w:rsidRPr="004D028B">
        <w:rPr>
          <w:rFonts w:ascii="Arial" w:eastAsia="Times New Roman" w:hAnsi="Arial" w:cs="Arial"/>
          <w:sz w:val="10"/>
          <w:szCs w:val="20"/>
          <w:lang w:eastAsia="es-ES"/>
        </w:rPr>
        <w:t xml:space="preserve">Fuente: Matriz Ejecución Presupuestal </w:t>
      </w:r>
      <w:proofErr w:type="gramStart"/>
      <w:r>
        <w:rPr>
          <w:rFonts w:ascii="Arial" w:eastAsia="Times New Roman" w:hAnsi="Arial" w:cs="Arial"/>
          <w:sz w:val="10"/>
          <w:szCs w:val="20"/>
          <w:lang w:eastAsia="es-ES"/>
        </w:rPr>
        <w:t>Junio</w:t>
      </w:r>
      <w:proofErr w:type="gramEnd"/>
      <w:r>
        <w:rPr>
          <w:rFonts w:ascii="Arial" w:eastAsia="Times New Roman" w:hAnsi="Arial" w:cs="Arial"/>
          <w:sz w:val="10"/>
          <w:szCs w:val="20"/>
          <w:lang w:eastAsia="es-ES"/>
        </w:rPr>
        <w:t xml:space="preserve"> 2018 </w:t>
      </w:r>
      <w:r w:rsidR="00CB7B63">
        <w:rPr>
          <w:rFonts w:ascii="Arial" w:eastAsia="Times New Roman" w:hAnsi="Arial" w:cs="Arial"/>
          <w:sz w:val="10"/>
          <w:szCs w:val="20"/>
          <w:lang w:eastAsia="es-ES"/>
        </w:rPr>
        <w:t xml:space="preserve">TOTORO </w:t>
      </w:r>
    </w:p>
    <w:p w14:paraId="7B5DCEA7" w14:textId="77777777" w:rsidR="00CB7B63" w:rsidRPr="00CB7B63" w:rsidRDefault="00CB7B63" w:rsidP="00CB7B63">
      <w:pPr>
        <w:tabs>
          <w:tab w:val="left" w:pos="910"/>
        </w:tabs>
        <w:spacing w:after="0" w:line="259" w:lineRule="auto"/>
        <w:rPr>
          <w:rFonts w:ascii="Arial" w:eastAsia="Times New Roman" w:hAnsi="Arial" w:cs="Arial"/>
          <w:sz w:val="10"/>
          <w:szCs w:val="20"/>
          <w:lang w:eastAsia="es-ES"/>
        </w:rPr>
      </w:pPr>
    </w:p>
    <w:p w14:paraId="4FC027FF" w14:textId="77777777" w:rsidR="00B71FFF" w:rsidRPr="00B71FFF" w:rsidRDefault="00B71FFF" w:rsidP="00B71FFF">
      <w:pPr>
        <w:tabs>
          <w:tab w:val="left" w:pos="910"/>
        </w:tabs>
        <w:spacing w:after="0"/>
        <w:jc w:val="both"/>
        <w:rPr>
          <w:rFonts w:ascii="Arial" w:eastAsia="Times New Roman" w:hAnsi="Arial" w:cs="Arial"/>
          <w:sz w:val="20"/>
          <w:szCs w:val="20"/>
          <w:lang w:eastAsia="es-ES"/>
        </w:rPr>
      </w:pPr>
      <w:r w:rsidRPr="00B71FFF">
        <w:rPr>
          <w:rFonts w:ascii="Arial" w:eastAsia="Times New Roman" w:hAnsi="Arial" w:cs="Arial"/>
          <w:sz w:val="20"/>
          <w:szCs w:val="20"/>
          <w:lang w:eastAsia="es-ES"/>
        </w:rPr>
        <w:t xml:space="preserve">Este Proyecto de Inversión </w:t>
      </w:r>
      <w:r w:rsidRPr="00B71FFF">
        <w:rPr>
          <w:rFonts w:ascii="Arial" w:eastAsia="Calibri" w:hAnsi="Arial" w:cs="Arial"/>
          <w:sz w:val="20"/>
          <w:szCs w:val="20"/>
          <w:lang w:val="es-CO" w:eastAsia="es-CO"/>
        </w:rPr>
        <w:t>registra un avance acumulado a 30 de junio de 2018, del 51,36% en compromisos, 10,9% en obligaciones y pagos respecto a las apropiaciones vigentes. De igual manera, tiene pendiente por comprometer $26.217.890.788,46</w:t>
      </w:r>
    </w:p>
    <w:p w14:paraId="19CB3EB3" w14:textId="77777777" w:rsidR="00B71FFF" w:rsidRPr="00B71FFF" w:rsidRDefault="00B71FFF" w:rsidP="00B71FFF">
      <w:pPr>
        <w:spacing w:after="0"/>
        <w:jc w:val="both"/>
        <w:rPr>
          <w:rFonts w:ascii="Arial" w:eastAsia="Times New Roman" w:hAnsi="Arial" w:cs="Arial"/>
          <w:b/>
          <w:color w:val="0070C0"/>
          <w:sz w:val="20"/>
          <w:szCs w:val="20"/>
          <w:lang w:val="es-CO" w:eastAsia="es-ES"/>
        </w:rPr>
      </w:pPr>
    </w:p>
    <w:p w14:paraId="2531236F" w14:textId="77777777" w:rsidR="00B71FFF" w:rsidRPr="00B71FFF" w:rsidRDefault="00B71FFF" w:rsidP="00B71FFF">
      <w:pPr>
        <w:spacing w:after="0"/>
        <w:jc w:val="both"/>
        <w:rPr>
          <w:rFonts w:ascii="Arial" w:eastAsia="Times New Roman" w:hAnsi="Arial" w:cs="Arial"/>
          <w:sz w:val="20"/>
          <w:szCs w:val="20"/>
          <w:lang w:val="es-CO" w:eastAsia="es-ES"/>
        </w:rPr>
      </w:pPr>
      <w:r w:rsidRPr="00B71FFF">
        <w:rPr>
          <w:rFonts w:ascii="Arial" w:eastAsia="Times New Roman" w:hAnsi="Arial" w:cs="Arial"/>
          <w:sz w:val="20"/>
          <w:szCs w:val="20"/>
          <w:lang w:val="es-CO" w:eastAsia="es-ES"/>
        </w:rPr>
        <w:t xml:space="preserve">Según el reporte descrito en el esquema financiero del sistema de seguimiento a proyectos de inversión (SPI) del DNP, este proyecto presenta los siguientes avances: Financiero 10,85%; físico 12% y gestión 47,30%.  </w:t>
      </w:r>
    </w:p>
    <w:p w14:paraId="69291AF6" w14:textId="77777777" w:rsidR="00B71FFF" w:rsidRPr="00B71FFF" w:rsidRDefault="00B71FFF" w:rsidP="00B71FFF">
      <w:pPr>
        <w:spacing w:after="0"/>
        <w:jc w:val="both"/>
        <w:rPr>
          <w:rFonts w:ascii="Arial" w:eastAsia="Times New Roman" w:hAnsi="Arial" w:cs="Arial"/>
          <w:sz w:val="20"/>
          <w:szCs w:val="20"/>
          <w:lang w:val="es-CO" w:eastAsia="es-ES"/>
        </w:rPr>
      </w:pPr>
    </w:p>
    <w:p w14:paraId="68FC2DB3" w14:textId="77777777" w:rsidR="00B71FFF" w:rsidRPr="006921AA" w:rsidRDefault="00B71FFF" w:rsidP="00B71FFF">
      <w:pPr>
        <w:spacing w:after="0"/>
        <w:jc w:val="both"/>
        <w:rPr>
          <w:rFonts w:ascii="Arial" w:eastAsia="Times New Roman" w:hAnsi="Arial" w:cs="Arial"/>
          <w:sz w:val="20"/>
          <w:szCs w:val="20"/>
          <w:lang w:val="es-CO" w:eastAsia="es-ES"/>
        </w:rPr>
      </w:pPr>
      <w:r w:rsidRPr="00B71FFF">
        <w:rPr>
          <w:rFonts w:ascii="Arial" w:eastAsia="Times New Roman" w:hAnsi="Arial" w:cs="Arial"/>
          <w:sz w:val="20"/>
          <w:szCs w:val="20"/>
          <w:lang w:val="es-CO" w:eastAsia="es-ES"/>
        </w:rPr>
        <w:t xml:space="preserve">Por lo descrito, esta oficina alerta a la dependencia responsable de este proyecto, ante una baja </w:t>
      </w:r>
      <w:r w:rsidRPr="006921AA">
        <w:rPr>
          <w:rFonts w:ascii="Arial" w:eastAsia="Times New Roman" w:hAnsi="Arial" w:cs="Arial"/>
          <w:sz w:val="20"/>
          <w:szCs w:val="20"/>
          <w:lang w:val="es-CO" w:eastAsia="es-ES"/>
        </w:rPr>
        <w:t xml:space="preserve">ejecución del 10,9% en obligaciones. </w:t>
      </w:r>
    </w:p>
    <w:p w14:paraId="2D72202B" w14:textId="77777777" w:rsidR="00B71FFF" w:rsidRPr="006921AA" w:rsidRDefault="00B71FFF" w:rsidP="00B71FFF">
      <w:pPr>
        <w:tabs>
          <w:tab w:val="left" w:pos="284"/>
          <w:tab w:val="left" w:pos="851"/>
        </w:tabs>
        <w:spacing w:after="0"/>
        <w:jc w:val="both"/>
        <w:rPr>
          <w:rFonts w:ascii="Arial" w:eastAsia="Calibri" w:hAnsi="Arial" w:cs="Arial"/>
          <w:sz w:val="20"/>
          <w:szCs w:val="20"/>
          <w:lang w:val="es-CO" w:eastAsia="es-CO"/>
        </w:rPr>
      </w:pPr>
    </w:p>
    <w:p w14:paraId="0E48D9EE" w14:textId="77777777" w:rsidR="00B71FFF" w:rsidRPr="006921AA" w:rsidRDefault="00B71FFF" w:rsidP="00BF519D">
      <w:pPr>
        <w:numPr>
          <w:ilvl w:val="0"/>
          <w:numId w:val="7"/>
        </w:numPr>
        <w:tabs>
          <w:tab w:val="left" w:pos="284"/>
          <w:tab w:val="left" w:pos="851"/>
        </w:tabs>
        <w:spacing w:after="0"/>
        <w:contextualSpacing/>
        <w:jc w:val="both"/>
        <w:rPr>
          <w:rFonts w:ascii="Arial" w:eastAsia="Calibri" w:hAnsi="Arial" w:cs="Arial"/>
          <w:sz w:val="20"/>
          <w:szCs w:val="20"/>
          <w:lang w:val="es-CO" w:eastAsia="es-CO"/>
        </w:rPr>
      </w:pPr>
      <w:r w:rsidRPr="006921AA">
        <w:rPr>
          <w:rFonts w:ascii="Arial" w:eastAsia="Calibri" w:hAnsi="Arial" w:cs="Arial"/>
          <w:sz w:val="20"/>
          <w:szCs w:val="20"/>
          <w:lang w:val="es-CO" w:eastAsia="es-CO"/>
        </w:rPr>
        <w:t xml:space="preserve">Servicio de registro único de víctimas articulado con la red nacional de información a nivel nacional. </w:t>
      </w:r>
    </w:p>
    <w:p w14:paraId="1BDD3DCE" w14:textId="77777777" w:rsidR="00B71FFF" w:rsidRPr="00B71FFF" w:rsidRDefault="00B71FFF" w:rsidP="00B71FFF">
      <w:pPr>
        <w:tabs>
          <w:tab w:val="left" w:pos="284"/>
          <w:tab w:val="left" w:pos="851"/>
        </w:tabs>
        <w:spacing w:after="0"/>
        <w:ind w:left="720"/>
        <w:contextualSpacing/>
        <w:jc w:val="both"/>
        <w:rPr>
          <w:rFonts w:ascii="Arial" w:eastAsia="Calibri" w:hAnsi="Arial" w:cs="Arial"/>
          <w:b/>
          <w:sz w:val="20"/>
          <w:szCs w:val="20"/>
          <w:lang w:val="es-CO" w:eastAsia="es-CO"/>
        </w:rPr>
      </w:pPr>
    </w:p>
    <w:p w14:paraId="1198C01C" w14:textId="77777777" w:rsidR="00B71FFF" w:rsidRPr="00B71FFF" w:rsidRDefault="00B71FFF" w:rsidP="00B71FFF">
      <w:pPr>
        <w:tabs>
          <w:tab w:val="left" w:pos="567"/>
          <w:tab w:val="left" w:pos="851"/>
        </w:tabs>
        <w:spacing w:after="0"/>
        <w:ind w:left="567"/>
        <w:contextualSpacing/>
        <w:jc w:val="both"/>
        <w:rPr>
          <w:rFonts w:ascii="Arial" w:eastAsia="Calibri" w:hAnsi="Arial" w:cs="Arial"/>
          <w:b/>
          <w:sz w:val="20"/>
          <w:szCs w:val="20"/>
          <w:lang w:val="es-CO" w:eastAsia="es-CO"/>
        </w:rPr>
      </w:pPr>
      <w:r w:rsidRPr="00B71FFF">
        <w:rPr>
          <w:rFonts w:ascii="Arial" w:eastAsia="Calibri" w:hAnsi="Arial" w:cs="Arial"/>
          <w:sz w:val="20"/>
          <w:szCs w:val="20"/>
          <w:lang w:eastAsia="es-CO"/>
        </w:rPr>
        <w:t xml:space="preserve">  Apropiación vigente: $33.000.000.000</w:t>
      </w:r>
    </w:p>
    <w:p w14:paraId="2C0EB576" w14:textId="77777777" w:rsidR="00B71FFF" w:rsidRPr="00B71FFF" w:rsidRDefault="00B71FFF" w:rsidP="00B71FFF">
      <w:pPr>
        <w:tabs>
          <w:tab w:val="left" w:pos="284"/>
          <w:tab w:val="left" w:pos="851"/>
        </w:tabs>
        <w:spacing w:after="0"/>
        <w:jc w:val="both"/>
        <w:rPr>
          <w:rFonts w:ascii="Arial" w:eastAsia="Calibri" w:hAnsi="Arial" w:cs="Arial"/>
          <w:b/>
          <w:sz w:val="20"/>
          <w:szCs w:val="20"/>
          <w:lang w:val="es-CO" w:eastAsia="es-CO"/>
        </w:rPr>
      </w:pPr>
    </w:p>
    <w:p w14:paraId="4B5427B0" w14:textId="77777777" w:rsidR="00B71FFF" w:rsidRPr="00B71FFF" w:rsidRDefault="00B71FFF" w:rsidP="00B71FFF">
      <w:pPr>
        <w:tabs>
          <w:tab w:val="left" w:pos="910"/>
        </w:tabs>
        <w:spacing w:after="0"/>
        <w:jc w:val="both"/>
        <w:rPr>
          <w:rFonts w:ascii="Arial" w:eastAsia="Calibri" w:hAnsi="Arial" w:cs="Arial"/>
          <w:sz w:val="20"/>
          <w:szCs w:val="20"/>
          <w:lang w:val="es-CO" w:eastAsia="es-CO"/>
        </w:rPr>
      </w:pPr>
      <w:r w:rsidRPr="00B71FFF">
        <w:rPr>
          <w:rFonts w:eastAsia="Cambria"/>
          <w:noProof/>
          <w:sz w:val="20"/>
          <w:szCs w:val="20"/>
          <w:lang w:eastAsia="es-ES"/>
        </w:rPr>
        <w:drawing>
          <wp:inline distT="0" distB="0" distL="0" distR="0" wp14:anchorId="36CF1C83" wp14:editId="3D24C270">
            <wp:extent cx="5629275" cy="809625"/>
            <wp:effectExtent l="0" t="0" r="9525" b="952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688709" cy="818173"/>
                    </a:xfrm>
                    <a:prstGeom prst="rect">
                      <a:avLst/>
                    </a:prstGeom>
                    <a:noFill/>
                    <a:ln>
                      <a:noFill/>
                    </a:ln>
                  </pic:spPr>
                </pic:pic>
              </a:graphicData>
            </a:graphic>
          </wp:inline>
        </w:drawing>
      </w:r>
    </w:p>
    <w:p w14:paraId="76837123" w14:textId="77777777" w:rsidR="004D028B" w:rsidRPr="004D028B" w:rsidRDefault="004D028B" w:rsidP="004D028B">
      <w:pPr>
        <w:tabs>
          <w:tab w:val="left" w:pos="910"/>
        </w:tabs>
        <w:spacing w:after="0" w:line="259" w:lineRule="auto"/>
        <w:rPr>
          <w:rFonts w:ascii="Arial" w:eastAsia="Times New Roman" w:hAnsi="Arial" w:cs="Arial"/>
          <w:sz w:val="10"/>
          <w:szCs w:val="20"/>
          <w:lang w:eastAsia="es-ES"/>
        </w:rPr>
      </w:pPr>
      <w:r w:rsidRPr="004D028B">
        <w:rPr>
          <w:rFonts w:ascii="Arial" w:eastAsia="Times New Roman" w:hAnsi="Arial" w:cs="Arial"/>
          <w:sz w:val="10"/>
          <w:szCs w:val="20"/>
          <w:lang w:eastAsia="es-ES"/>
        </w:rPr>
        <w:t xml:space="preserve">Fuente: Matriz Ejecución Presupuestal </w:t>
      </w:r>
      <w:proofErr w:type="gramStart"/>
      <w:r>
        <w:rPr>
          <w:rFonts w:ascii="Arial" w:eastAsia="Times New Roman" w:hAnsi="Arial" w:cs="Arial"/>
          <w:sz w:val="10"/>
          <w:szCs w:val="20"/>
          <w:lang w:eastAsia="es-ES"/>
        </w:rPr>
        <w:t>Junio</w:t>
      </w:r>
      <w:proofErr w:type="gramEnd"/>
      <w:r>
        <w:rPr>
          <w:rFonts w:ascii="Arial" w:eastAsia="Times New Roman" w:hAnsi="Arial" w:cs="Arial"/>
          <w:sz w:val="10"/>
          <w:szCs w:val="20"/>
          <w:lang w:eastAsia="es-ES"/>
        </w:rPr>
        <w:t xml:space="preserve"> 2018 </w:t>
      </w:r>
      <w:r w:rsidRPr="004D028B">
        <w:rPr>
          <w:rFonts w:ascii="Arial" w:eastAsia="Times New Roman" w:hAnsi="Arial" w:cs="Arial"/>
          <w:sz w:val="10"/>
          <w:szCs w:val="20"/>
          <w:lang w:eastAsia="es-ES"/>
        </w:rPr>
        <w:t xml:space="preserve">TOTORO </w:t>
      </w:r>
    </w:p>
    <w:p w14:paraId="510D535A" w14:textId="77777777" w:rsidR="00CB7B63" w:rsidRDefault="00CB7B63" w:rsidP="00B71FFF">
      <w:pPr>
        <w:spacing w:after="0"/>
        <w:jc w:val="both"/>
        <w:rPr>
          <w:rFonts w:ascii="Arial" w:eastAsia="Calibri" w:hAnsi="Arial" w:cs="Arial"/>
          <w:sz w:val="20"/>
          <w:szCs w:val="20"/>
          <w:lang w:val="es-CO" w:eastAsia="es-CO"/>
        </w:rPr>
      </w:pPr>
    </w:p>
    <w:p w14:paraId="51B13CD0" w14:textId="68DF13F3" w:rsidR="00B71FFF" w:rsidRPr="006921AA" w:rsidRDefault="00B71FFF" w:rsidP="00B71FFF">
      <w:pPr>
        <w:spacing w:after="0"/>
        <w:jc w:val="both"/>
        <w:rPr>
          <w:rFonts w:ascii="Arial" w:eastAsia="Times New Roman" w:hAnsi="Arial" w:cs="Arial"/>
          <w:sz w:val="20"/>
          <w:szCs w:val="20"/>
          <w:lang w:val="es-CO" w:eastAsia="es-ES"/>
        </w:rPr>
      </w:pPr>
      <w:r w:rsidRPr="00B71FFF">
        <w:rPr>
          <w:rFonts w:ascii="Arial" w:eastAsia="Times New Roman" w:hAnsi="Arial" w:cs="Arial"/>
          <w:sz w:val="20"/>
          <w:szCs w:val="20"/>
          <w:lang w:val="es-CO" w:eastAsia="es-ES"/>
        </w:rPr>
        <w:lastRenderedPageBreak/>
        <w:t xml:space="preserve">Este Proyecto de Inversión a 30 de junio de 2018, </w:t>
      </w:r>
      <w:r w:rsidRPr="006921AA">
        <w:rPr>
          <w:rFonts w:ascii="Arial" w:eastAsia="Times New Roman" w:hAnsi="Arial" w:cs="Arial"/>
          <w:sz w:val="20"/>
          <w:szCs w:val="20"/>
          <w:lang w:val="es-CO" w:eastAsia="es-ES"/>
        </w:rPr>
        <w:t xml:space="preserve">muestra un avance acumulado del 58,65% en compromisos y 34,6% tanto en obligaciones como en pagos respecto a las apropiaciones vigentes. Sin embargo, están pendientes por comprometer $13.646.461.758.77. </w:t>
      </w:r>
    </w:p>
    <w:p w14:paraId="1776DFF1" w14:textId="77777777" w:rsidR="00B71FFF" w:rsidRPr="006921AA" w:rsidRDefault="00B71FFF" w:rsidP="00B71FFF">
      <w:pPr>
        <w:tabs>
          <w:tab w:val="left" w:pos="910"/>
        </w:tabs>
        <w:spacing w:after="0"/>
        <w:jc w:val="both"/>
        <w:rPr>
          <w:rFonts w:ascii="Arial" w:eastAsia="Calibri" w:hAnsi="Arial" w:cs="Arial"/>
          <w:sz w:val="20"/>
          <w:szCs w:val="20"/>
          <w:lang w:val="es-CO" w:eastAsia="es-CO"/>
        </w:rPr>
      </w:pPr>
    </w:p>
    <w:p w14:paraId="4679D500" w14:textId="77777777" w:rsidR="00B71FFF" w:rsidRPr="00B71FFF" w:rsidRDefault="00B71FFF" w:rsidP="00B71FFF">
      <w:pPr>
        <w:spacing w:after="0"/>
        <w:jc w:val="both"/>
        <w:rPr>
          <w:rFonts w:ascii="Arial" w:eastAsia="Times New Roman" w:hAnsi="Arial" w:cs="Arial"/>
          <w:sz w:val="20"/>
          <w:szCs w:val="20"/>
          <w:lang w:val="es-CO" w:eastAsia="es-ES"/>
        </w:rPr>
      </w:pPr>
      <w:r w:rsidRPr="00B71FFF">
        <w:rPr>
          <w:rFonts w:ascii="Arial" w:eastAsia="Times New Roman" w:hAnsi="Arial" w:cs="Arial"/>
          <w:sz w:val="20"/>
          <w:szCs w:val="20"/>
          <w:lang w:val="es-CO" w:eastAsia="es-ES"/>
        </w:rPr>
        <w:t xml:space="preserve">Según el reporte que se observa en el esquema financiero del sistema de seguimiento a proyectos de inversión (SPI) del DNP, el proyecto presenta los siguientes avances: Financiero 34,59%; físico 78% y gestión 62,20%.  </w:t>
      </w:r>
    </w:p>
    <w:p w14:paraId="4AED4089" w14:textId="77777777" w:rsidR="00B71FFF" w:rsidRPr="00B71FFF" w:rsidRDefault="00B71FFF" w:rsidP="00B71FFF">
      <w:pPr>
        <w:tabs>
          <w:tab w:val="left" w:pos="910"/>
        </w:tabs>
        <w:spacing w:after="0"/>
        <w:jc w:val="both"/>
        <w:rPr>
          <w:rFonts w:ascii="Arial" w:eastAsia="Calibri" w:hAnsi="Arial" w:cs="Arial"/>
          <w:sz w:val="20"/>
          <w:szCs w:val="20"/>
          <w:lang w:eastAsia="es-CO"/>
        </w:rPr>
      </w:pPr>
    </w:p>
    <w:p w14:paraId="0AD191F4" w14:textId="77777777" w:rsidR="00B71FFF" w:rsidRPr="00B71FFF" w:rsidRDefault="00B71FFF" w:rsidP="00B71FFF">
      <w:pPr>
        <w:tabs>
          <w:tab w:val="left" w:pos="910"/>
        </w:tabs>
        <w:spacing w:after="0"/>
        <w:jc w:val="both"/>
        <w:rPr>
          <w:rFonts w:ascii="Arial" w:eastAsia="Calibri" w:hAnsi="Arial" w:cs="Arial"/>
          <w:sz w:val="20"/>
          <w:szCs w:val="20"/>
          <w:lang w:val="es-CO" w:eastAsia="es-CO"/>
        </w:rPr>
      </w:pPr>
      <w:r w:rsidRPr="00B71FFF">
        <w:rPr>
          <w:rFonts w:ascii="Arial" w:eastAsia="Calibri" w:hAnsi="Arial" w:cs="Arial"/>
          <w:sz w:val="20"/>
          <w:szCs w:val="20"/>
          <w:lang w:val="es-CO" w:eastAsia="es-CO"/>
        </w:rPr>
        <w:t>Se alerta a la dependencia que tiene a su cargo la responsabilidad de este proyecto, ante una ejecución del 34,6% en obligaciones.</w:t>
      </w:r>
    </w:p>
    <w:p w14:paraId="24D8EA60" w14:textId="77777777" w:rsidR="00B71FFF" w:rsidRPr="00B71FFF" w:rsidRDefault="00B71FFF" w:rsidP="00B71FFF">
      <w:pPr>
        <w:tabs>
          <w:tab w:val="left" w:pos="910"/>
        </w:tabs>
        <w:spacing w:after="0"/>
        <w:jc w:val="both"/>
        <w:rPr>
          <w:rFonts w:ascii="Arial" w:eastAsia="Calibri" w:hAnsi="Arial" w:cs="Arial"/>
          <w:sz w:val="20"/>
          <w:szCs w:val="20"/>
          <w:lang w:val="es-CO" w:eastAsia="es-CO"/>
        </w:rPr>
      </w:pPr>
    </w:p>
    <w:p w14:paraId="30A42936" w14:textId="77777777" w:rsidR="00B71FFF" w:rsidRPr="006921AA" w:rsidRDefault="00B71FFF" w:rsidP="00BF519D">
      <w:pPr>
        <w:numPr>
          <w:ilvl w:val="0"/>
          <w:numId w:val="7"/>
        </w:numPr>
        <w:tabs>
          <w:tab w:val="left" w:pos="910"/>
        </w:tabs>
        <w:spacing w:after="0"/>
        <w:contextualSpacing/>
        <w:jc w:val="both"/>
        <w:rPr>
          <w:rFonts w:ascii="Arial" w:eastAsia="Calibri" w:hAnsi="Arial" w:cs="Arial"/>
          <w:sz w:val="20"/>
          <w:szCs w:val="20"/>
          <w:lang w:val="es-CO" w:eastAsia="es-CO"/>
        </w:rPr>
      </w:pPr>
      <w:r w:rsidRPr="006921AA">
        <w:rPr>
          <w:rFonts w:ascii="Arial" w:eastAsia="Calibri" w:hAnsi="Arial" w:cs="Arial"/>
          <w:sz w:val="20"/>
          <w:szCs w:val="20"/>
          <w:lang w:val="es-CO" w:eastAsia="es-CO"/>
        </w:rPr>
        <w:t>Implementación de acciones para la coordinación y articulación de los diferentes actores e instancias del SNARIV nacional.</w:t>
      </w:r>
    </w:p>
    <w:p w14:paraId="24CDC945" w14:textId="77777777" w:rsidR="00B71FFF" w:rsidRPr="00B71FFF" w:rsidRDefault="00B71FFF" w:rsidP="00B71FFF">
      <w:pPr>
        <w:tabs>
          <w:tab w:val="left" w:pos="910"/>
        </w:tabs>
        <w:spacing w:after="0"/>
        <w:ind w:left="720"/>
        <w:contextualSpacing/>
        <w:jc w:val="both"/>
        <w:rPr>
          <w:rFonts w:ascii="Arial" w:eastAsia="Calibri" w:hAnsi="Arial" w:cs="Arial"/>
          <w:b/>
          <w:sz w:val="20"/>
          <w:szCs w:val="20"/>
          <w:lang w:val="es-CO" w:eastAsia="es-CO"/>
        </w:rPr>
      </w:pPr>
    </w:p>
    <w:p w14:paraId="05AF2EF1" w14:textId="77777777" w:rsidR="00B71FFF" w:rsidRPr="00B71FFF" w:rsidRDefault="00B71FFF" w:rsidP="00B71FFF">
      <w:pPr>
        <w:tabs>
          <w:tab w:val="left" w:pos="567"/>
          <w:tab w:val="left" w:pos="851"/>
        </w:tabs>
        <w:spacing w:after="0"/>
        <w:ind w:left="567"/>
        <w:contextualSpacing/>
        <w:jc w:val="both"/>
        <w:rPr>
          <w:rFonts w:ascii="Arial" w:eastAsia="Calibri" w:hAnsi="Arial" w:cs="Arial"/>
          <w:sz w:val="20"/>
          <w:szCs w:val="20"/>
          <w:lang w:eastAsia="es-CO"/>
        </w:rPr>
      </w:pPr>
      <w:r w:rsidRPr="00B71FFF">
        <w:rPr>
          <w:rFonts w:ascii="Arial" w:eastAsia="Calibri" w:hAnsi="Arial" w:cs="Arial"/>
          <w:sz w:val="20"/>
          <w:szCs w:val="20"/>
          <w:lang w:eastAsia="es-CO"/>
        </w:rPr>
        <w:t xml:space="preserve">  Apropiación vigente: $40.000.000.000</w:t>
      </w:r>
    </w:p>
    <w:p w14:paraId="2CA882FB" w14:textId="77777777" w:rsidR="00B71FFF" w:rsidRPr="00B71FFF" w:rsidRDefault="00B71FFF" w:rsidP="00B71FFF">
      <w:pPr>
        <w:tabs>
          <w:tab w:val="left" w:pos="567"/>
          <w:tab w:val="left" w:pos="851"/>
        </w:tabs>
        <w:spacing w:after="0"/>
        <w:ind w:left="567"/>
        <w:contextualSpacing/>
        <w:jc w:val="both"/>
        <w:rPr>
          <w:rFonts w:ascii="Arial" w:eastAsia="Calibri" w:hAnsi="Arial" w:cs="Arial"/>
          <w:b/>
          <w:sz w:val="20"/>
          <w:szCs w:val="20"/>
          <w:lang w:val="es-CO" w:eastAsia="es-CO"/>
        </w:rPr>
      </w:pPr>
    </w:p>
    <w:p w14:paraId="57B5B033" w14:textId="77777777" w:rsidR="00B71FFF" w:rsidRPr="00B71FFF" w:rsidRDefault="00B71FFF" w:rsidP="00B71FFF">
      <w:pPr>
        <w:tabs>
          <w:tab w:val="left" w:pos="910"/>
        </w:tabs>
        <w:spacing w:after="0"/>
        <w:jc w:val="both"/>
        <w:rPr>
          <w:rFonts w:ascii="Arial" w:eastAsia="Calibri" w:hAnsi="Arial" w:cs="Arial"/>
          <w:b/>
          <w:sz w:val="20"/>
          <w:szCs w:val="20"/>
          <w:lang w:val="es-CO" w:eastAsia="es-CO"/>
        </w:rPr>
      </w:pPr>
      <w:r w:rsidRPr="00B71FFF">
        <w:rPr>
          <w:rFonts w:eastAsia="Cambria"/>
          <w:noProof/>
          <w:sz w:val="20"/>
          <w:szCs w:val="20"/>
          <w:lang w:eastAsia="es-ES"/>
        </w:rPr>
        <w:drawing>
          <wp:inline distT="0" distB="0" distL="0" distR="0" wp14:anchorId="1BA601F2" wp14:editId="764A80F9">
            <wp:extent cx="5638800" cy="809625"/>
            <wp:effectExtent l="0" t="0" r="0" b="952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718337" cy="821045"/>
                    </a:xfrm>
                    <a:prstGeom prst="rect">
                      <a:avLst/>
                    </a:prstGeom>
                    <a:noFill/>
                    <a:ln>
                      <a:noFill/>
                    </a:ln>
                  </pic:spPr>
                </pic:pic>
              </a:graphicData>
            </a:graphic>
          </wp:inline>
        </w:drawing>
      </w:r>
    </w:p>
    <w:p w14:paraId="0AB0EEA4" w14:textId="11ECC013" w:rsidR="00B71FFF" w:rsidRDefault="004D028B" w:rsidP="00CB7B63">
      <w:pPr>
        <w:tabs>
          <w:tab w:val="left" w:pos="910"/>
        </w:tabs>
        <w:spacing w:after="0" w:line="259" w:lineRule="auto"/>
        <w:rPr>
          <w:rFonts w:ascii="Arial" w:eastAsia="Times New Roman" w:hAnsi="Arial" w:cs="Arial"/>
          <w:sz w:val="10"/>
          <w:szCs w:val="20"/>
          <w:lang w:eastAsia="es-ES"/>
        </w:rPr>
      </w:pPr>
      <w:r w:rsidRPr="004D028B">
        <w:rPr>
          <w:rFonts w:ascii="Arial" w:eastAsia="Times New Roman" w:hAnsi="Arial" w:cs="Arial"/>
          <w:sz w:val="10"/>
          <w:szCs w:val="20"/>
          <w:lang w:eastAsia="es-ES"/>
        </w:rPr>
        <w:t xml:space="preserve">Fuente: Matriz Ejecución Presupuestal </w:t>
      </w:r>
      <w:proofErr w:type="gramStart"/>
      <w:r>
        <w:rPr>
          <w:rFonts w:ascii="Arial" w:eastAsia="Times New Roman" w:hAnsi="Arial" w:cs="Arial"/>
          <w:sz w:val="10"/>
          <w:szCs w:val="20"/>
          <w:lang w:eastAsia="es-ES"/>
        </w:rPr>
        <w:t>Junio</w:t>
      </w:r>
      <w:proofErr w:type="gramEnd"/>
      <w:r>
        <w:rPr>
          <w:rFonts w:ascii="Arial" w:eastAsia="Times New Roman" w:hAnsi="Arial" w:cs="Arial"/>
          <w:sz w:val="10"/>
          <w:szCs w:val="20"/>
          <w:lang w:eastAsia="es-ES"/>
        </w:rPr>
        <w:t xml:space="preserve"> 2018 </w:t>
      </w:r>
      <w:r w:rsidR="00CB7B63">
        <w:rPr>
          <w:rFonts w:ascii="Arial" w:eastAsia="Times New Roman" w:hAnsi="Arial" w:cs="Arial"/>
          <w:sz w:val="10"/>
          <w:szCs w:val="20"/>
          <w:lang w:eastAsia="es-ES"/>
        </w:rPr>
        <w:t xml:space="preserve">TOTORO </w:t>
      </w:r>
    </w:p>
    <w:p w14:paraId="42915957" w14:textId="77777777" w:rsidR="00CB7B63" w:rsidRPr="00CB7B63" w:rsidRDefault="00CB7B63" w:rsidP="00CB7B63">
      <w:pPr>
        <w:tabs>
          <w:tab w:val="left" w:pos="910"/>
        </w:tabs>
        <w:spacing w:after="0" w:line="259" w:lineRule="auto"/>
        <w:rPr>
          <w:rFonts w:ascii="Arial" w:eastAsia="Times New Roman" w:hAnsi="Arial" w:cs="Arial"/>
          <w:sz w:val="10"/>
          <w:szCs w:val="20"/>
          <w:lang w:eastAsia="es-ES"/>
        </w:rPr>
      </w:pPr>
    </w:p>
    <w:p w14:paraId="40BFBD47" w14:textId="77777777" w:rsidR="00B71FFF" w:rsidRPr="006921AA" w:rsidRDefault="00B71FFF" w:rsidP="00B71FFF">
      <w:pPr>
        <w:tabs>
          <w:tab w:val="left" w:pos="910"/>
        </w:tabs>
        <w:spacing w:after="0"/>
        <w:jc w:val="both"/>
        <w:rPr>
          <w:rFonts w:ascii="Arial" w:eastAsia="Calibri" w:hAnsi="Arial" w:cs="Arial"/>
          <w:sz w:val="20"/>
          <w:szCs w:val="20"/>
          <w:lang w:val="es-CO" w:eastAsia="es-CO"/>
        </w:rPr>
      </w:pPr>
      <w:r w:rsidRPr="00B71FFF">
        <w:rPr>
          <w:rFonts w:ascii="Arial" w:eastAsia="Calibri" w:hAnsi="Arial" w:cs="Arial"/>
          <w:sz w:val="20"/>
          <w:szCs w:val="20"/>
          <w:lang w:val="es-CO" w:eastAsia="es-CO"/>
        </w:rPr>
        <w:t xml:space="preserve">El proyecto de </w:t>
      </w:r>
      <w:r w:rsidRPr="006921AA">
        <w:rPr>
          <w:rFonts w:ascii="Arial" w:eastAsia="Calibri" w:hAnsi="Arial" w:cs="Arial"/>
          <w:sz w:val="20"/>
          <w:szCs w:val="20"/>
          <w:lang w:val="es-CO" w:eastAsia="es-CO"/>
        </w:rPr>
        <w:t>inversión registra en el primer semestre de 2018, un avance acumulado del 57,97% en compromisos y 18,3% en obligaciones y pagos con respecto a las apropiaciones vigentes. Tienen pendiente por comprometer $2.757.770.020.</w:t>
      </w:r>
    </w:p>
    <w:p w14:paraId="16CD335F" w14:textId="77777777" w:rsidR="00B71FFF" w:rsidRPr="006921AA" w:rsidRDefault="00B71FFF" w:rsidP="00B71FFF">
      <w:pPr>
        <w:spacing w:after="0"/>
        <w:jc w:val="both"/>
        <w:rPr>
          <w:rFonts w:ascii="Arial" w:eastAsia="Times New Roman" w:hAnsi="Arial" w:cs="Arial"/>
          <w:sz w:val="20"/>
          <w:szCs w:val="20"/>
          <w:lang w:val="es-CO" w:eastAsia="es-ES"/>
        </w:rPr>
      </w:pPr>
    </w:p>
    <w:p w14:paraId="59389089" w14:textId="77777777" w:rsidR="00B71FFF" w:rsidRPr="006921AA" w:rsidRDefault="00B71FFF" w:rsidP="00B71FFF">
      <w:pPr>
        <w:spacing w:after="0"/>
        <w:jc w:val="both"/>
        <w:rPr>
          <w:rFonts w:ascii="Arial" w:eastAsia="Times New Roman" w:hAnsi="Arial" w:cs="Arial"/>
          <w:sz w:val="20"/>
          <w:szCs w:val="20"/>
          <w:lang w:val="es-CO" w:eastAsia="es-ES"/>
        </w:rPr>
      </w:pPr>
      <w:r w:rsidRPr="006921AA">
        <w:rPr>
          <w:rFonts w:ascii="Arial" w:eastAsia="Times New Roman" w:hAnsi="Arial" w:cs="Arial"/>
          <w:sz w:val="20"/>
          <w:szCs w:val="20"/>
          <w:lang w:val="es-CO" w:eastAsia="es-ES"/>
        </w:rPr>
        <w:t xml:space="preserve">Según el reporte inscrito en el esquema financiero del sistema de seguimiento a proyectos de inversión (SPI) del DNP, este proyecto presenta los siguientes avances: Financiero 18,28%; físico 4% y gestión 0%.  </w:t>
      </w:r>
    </w:p>
    <w:p w14:paraId="6A0DCD7B" w14:textId="77777777" w:rsidR="00B71FFF" w:rsidRPr="006921AA" w:rsidRDefault="00B71FFF" w:rsidP="00B71FFF">
      <w:pPr>
        <w:tabs>
          <w:tab w:val="left" w:pos="910"/>
        </w:tabs>
        <w:spacing w:after="0"/>
        <w:jc w:val="both"/>
        <w:rPr>
          <w:rFonts w:ascii="Arial" w:eastAsia="Calibri" w:hAnsi="Arial" w:cs="Arial"/>
          <w:sz w:val="20"/>
          <w:szCs w:val="20"/>
          <w:lang w:val="es-CO" w:eastAsia="es-CO"/>
        </w:rPr>
      </w:pPr>
    </w:p>
    <w:p w14:paraId="2E90CF3C" w14:textId="77777777" w:rsidR="00B71FFF" w:rsidRPr="006921AA" w:rsidRDefault="00B71FFF" w:rsidP="00B71FFF">
      <w:pPr>
        <w:tabs>
          <w:tab w:val="left" w:pos="910"/>
        </w:tabs>
        <w:spacing w:after="0"/>
        <w:jc w:val="both"/>
        <w:rPr>
          <w:rFonts w:ascii="Arial" w:eastAsia="Calibri" w:hAnsi="Arial" w:cs="Arial"/>
          <w:sz w:val="20"/>
          <w:szCs w:val="20"/>
          <w:lang w:val="es-CO" w:eastAsia="es-CO"/>
        </w:rPr>
      </w:pPr>
      <w:r w:rsidRPr="006921AA">
        <w:rPr>
          <w:rFonts w:ascii="Arial" w:eastAsia="Calibri" w:hAnsi="Arial" w:cs="Arial"/>
          <w:sz w:val="20"/>
          <w:szCs w:val="20"/>
          <w:lang w:val="es-CO" w:eastAsia="es-CO"/>
        </w:rPr>
        <w:t xml:space="preserve">Teniendo en cuenta la información reportada, la OCI alerta a la dependencia que tiene a su cargo este proyecto, ante una baja ejecución del 18,3% en obligaciones. </w:t>
      </w:r>
    </w:p>
    <w:p w14:paraId="046B0BB0" w14:textId="77777777" w:rsidR="00B71FFF" w:rsidRPr="006921AA" w:rsidRDefault="00B71FFF" w:rsidP="00B71FFF">
      <w:pPr>
        <w:tabs>
          <w:tab w:val="left" w:pos="910"/>
        </w:tabs>
        <w:spacing w:after="0"/>
        <w:jc w:val="both"/>
        <w:rPr>
          <w:rFonts w:ascii="Arial" w:eastAsia="Calibri" w:hAnsi="Arial" w:cs="Arial"/>
          <w:sz w:val="20"/>
          <w:szCs w:val="20"/>
          <w:lang w:val="es-CO" w:eastAsia="es-CO"/>
        </w:rPr>
      </w:pPr>
    </w:p>
    <w:p w14:paraId="19AC1F14" w14:textId="77777777" w:rsidR="00B71FFF" w:rsidRPr="006921AA" w:rsidRDefault="00B71FFF" w:rsidP="00BF519D">
      <w:pPr>
        <w:numPr>
          <w:ilvl w:val="0"/>
          <w:numId w:val="7"/>
        </w:numPr>
        <w:tabs>
          <w:tab w:val="left" w:pos="910"/>
        </w:tabs>
        <w:spacing w:after="0"/>
        <w:contextualSpacing/>
        <w:jc w:val="both"/>
        <w:rPr>
          <w:rFonts w:ascii="Arial" w:eastAsia="Calibri" w:hAnsi="Arial" w:cs="Arial"/>
          <w:sz w:val="20"/>
          <w:szCs w:val="20"/>
          <w:lang w:val="es-CO" w:eastAsia="es-CO"/>
        </w:rPr>
      </w:pPr>
      <w:r w:rsidRPr="006921AA">
        <w:rPr>
          <w:rFonts w:ascii="Arial" w:eastAsia="Calibri" w:hAnsi="Arial" w:cs="Arial"/>
          <w:sz w:val="20"/>
          <w:szCs w:val="20"/>
          <w:lang w:val="es-CO" w:eastAsia="es-CO"/>
        </w:rPr>
        <w:t xml:space="preserve">Implementación de medidas de prevención y asistencia para víctimas del conflicto armado nacional. </w:t>
      </w:r>
    </w:p>
    <w:p w14:paraId="7B310852" w14:textId="77777777" w:rsidR="00B71FFF" w:rsidRPr="00B71FFF" w:rsidRDefault="00B71FFF" w:rsidP="00B71FFF">
      <w:pPr>
        <w:tabs>
          <w:tab w:val="left" w:pos="910"/>
        </w:tabs>
        <w:spacing w:after="0"/>
        <w:ind w:left="720"/>
        <w:contextualSpacing/>
        <w:jc w:val="both"/>
        <w:rPr>
          <w:rFonts w:ascii="Arial" w:eastAsia="Calibri" w:hAnsi="Arial" w:cs="Arial"/>
          <w:b/>
          <w:sz w:val="20"/>
          <w:szCs w:val="20"/>
          <w:lang w:val="es-CO" w:eastAsia="es-CO"/>
        </w:rPr>
      </w:pPr>
    </w:p>
    <w:p w14:paraId="23192BA0" w14:textId="77777777" w:rsidR="00B71FFF" w:rsidRPr="00B71FFF" w:rsidRDefault="00B71FFF" w:rsidP="00B71FFF">
      <w:pPr>
        <w:tabs>
          <w:tab w:val="left" w:pos="910"/>
        </w:tabs>
        <w:spacing w:after="0"/>
        <w:ind w:left="720"/>
        <w:contextualSpacing/>
        <w:jc w:val="both"/>
        <w:rPr>
          <w:rFonts w:ascii="Arial" w:eastAsia="Calibri" w:hAnsi="Arial" w:cs="Arial"/>
          <w:sz w:val="20"/>
          <w:szCs w:val="20"/>
          <w:lang w:eastAsia="es-CO"/>
        </w:rPr>
      </w:pPr>
      <w:r w:rsidRPr="00B71FFF">
        <w:rPr>
          <w:rFonts w:ascii="Arial" w:eastAsia="Calibri" w:hAnsi="Arial" w:cs="Arial"/>
          <w:sz w:val="20"/>
          <w:szCs w:val="20"/>
          <w:lang w:eastAsia="es-CO"/>
        </w:rPr>
        <w:t>Apropiación vigente: $635.320.000.000</w:t>
      </w:r>
    </w:p>
    <w:p w14:paraId="17AB5A17" w14:textId="77777777" w:rsidR="00B71FFF" w:rsidRPr="00B71FFF" w:rsidRDefault="00B71FFF" w:rsidP="00B71FFF">
      <w:pPr>
        <w:tabs>
          <w:tab w:val="left" w:pos="910"/>
        </w:tabs>
        <w:spacing w:after="0"/>
        <w:ind w:left="720"/>
        <w:contextualSpacing/>
        <w:jc w:val="both"/>
        <w:rPr>
          <w:rFonts w:ascii="Arial" w:eastAsia="Calibri" w:hAnsi="Arial" w:cs="Arial"/>
          <w:b/>
          <w:sz w:val="20"/>
          <w:szCs w:val="20"/>
          <w:lang w:val="es-CO" w:eastAsia="es-CO"/>
        </w:rPr>
      </w:pPr>
    </w:p>
    <w:p w14:paraId="23ABEA57" w14:textId="77777777" w:rsidR="00B71FFF" w:rsidRPr="00B71FFF" w:rsidRDefault="00B71FFF" w:rsidP="00B71FFF">
      <w:pPr>
        <w:tabs>
          <w:tab w:val="left" w:pos="910"/>
        </w:tabs>
        <w:spacing w:after="0"/>
        <w:jc w:val="both"/>
        <w:rPr>
          <w:rFonts w:ascii="Arial" w:eastAsia="Calibri" w:hAnsi="Arial" w:cs="Arial"/>
          <w:sz w:val="20"/>
          <w:szCs w:val="20"/>
          <w:lang w:val="es-CO" w:eastAsia="es-CO"/>
        </w:rPr>
      </w:pPr>
      <w:r w:rsidRPr="00B71FFF">
        <w:rPr>
          <w:rFonts w:eastAsia="Cambria"/>
          <w:noProof/>
          <w:sz w:val="20"/>
          <w:szCs w:val="20"/>
          <w:lang w:eastAsia="es-ES"/>
        </w:rPr>
        <w:drawing>
          <wp:inline distT="0" distB="0" distL="0" distR="0" wp14:anchorId="47CAE226" wp14:editId="1CC3A0FF">
            <wp:extent cx="5591175" cy="742950"/>
            <wp:effectExtent l="0" t="0" r="9525"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608885" cy="745303"/>
                    </a:xfrm>
                    <a:prstGeom prst="rect">
                      <a:avLst/>
                    </a:prstGeom>
                    <a:noFill/>
                    <a:ln>
                      <a:noFill/>
                    </a:ln>
                  </pic:spPr>
                </pic:pic>
              </a:graphicData>
            </a:graphic>
          </wp:inline>
        </w:drawing>
      </w:r>
    </w:p>
    <w:p w14:paraId="4CF46F1B" w14:textId="6134B492" w:rsidR="004D028B" w:rsidRPr="004D028B" w:rsidRDefault="004D028B" w:rsidP="004D028B">
      <w:pPr>
        <w:tabs>
          <w:tab w:val="left" w:pos="910"/>
        </w:tabs>
        <w:spacing w:after="0" w:line="259" w:lineRule="auto"/>
        <w:rPr>
          <w:rFonts w:ascii="Arial" w:eastAsia="Times New Roman" w:hAnsi="Arial" w:cs="Arial"/>
          <w:sz w:val="10"/>
          <w:szCs w:val="20"/>
          <w:lang w:eastAsia="es-ES"/>
        </w:rPr>
      </w:pPr>
      <w:r w:rsidRPr="004D028B">
        <w:rPr>
          <w:rFonts w:ascii="Arial" w:eastAsia="Times New Roman" w:hAnsi="Arial" w:cs="Arial"/>
          <w:sz w:val="10"/>
          <w:szCs w:val="20"/>
          <w:lang w:eastAsia="es-ES"/>
        </w:rPr>
        <w:t xml:space="preserve">Fuente: Matriz Ejecución Presupuestal </w:t>
      </w:r>
      <w:proofErr w:type="gramStart"/>
      <w:r>
        <w:rPr>
          <w:rFonts w:ascii="Arial" w:eastAsia="Times New Roman" w:hAnsi="Arial" w:cs="Arial"/>
          <w:sz w:val="10"/>
          <w:szCs w:val="20"/>
          <w:lang w:eastAsia="es-ES"/>
        </w:rPr>
        <w:t>Junio</w:t>
      </w:r>
      <w:proofErr w:type="gramEnd"/>
      <w:r>
        <w:rPr>
          <w:rFonts w:ascii="Arial" w:eastAsia="Times New Roman" w:hAnsi="Arial" w:cs="Arial"/>
          <w:sz w:val="10"/>
          <w:szCs w:val="20"/>
          <w:lang w:eastAsia="es-ES"/>
        </w:rPr>
        <w:t xml:space="preserve"> 2018 </w:t>
      </w:r>
      <w:r w:rsidR="00CB7B63">
        <w:rPr>
          <w:rFonts w:ascii="Arial" w:eastAsia="Times New Roman" w:hAnsi="Arial" w:cs="Arial"/>
          <w:sz w:val="10"/>
          <w:szCs w:val="20"/>
          <w:lang w:eastAsia="es-ES"/>
        </w:rPr>
        <w:t xml:space="preserve">TOTORO </w:t>
      </w:r>
    </w:p>
    <w:p w14:paraId="617D2870" w14:textId="77777777" w:rsidR="00CB7B63" w:rsidRDefault="00CB7B63" w:rsidP="00B71FFF">
      <w:pPr>
        <w:tabs>
          <w:tab w:val="left" w:pos="910"/>
        </w:tabs>
        <w:spacing w:after="0"/>
        <w:jc w:val="both"/>
        <w:rPr>
          <w:rFonts w:ascii="Arial" w:eastAsia="Calibri" w:hAnsi="Arial" w:cs="Arial"/>
          <w:sz w:val="20"/>
          <w:szCs w:val="20"/>
          <w:lang w:val="es-CO" w:eastAsia="es-CO"/>
        </w:rPr>
      </w:pPr>
    </w:p>
    <w:p w14:paraId="25C602BC" w14:textId="2A001D9F" w:rsidR="00B71FFF" w:rsidRPr="006921AA" w:rsidRDefault="00B71FFF" w:rsidP="00B71FFF">
      <w:pPr>
        <w:tabs>
          <w:tab w:val="left" w:pos="910"/>
        </w:tabs>
        <w:spacing w:after="0"/>
        <w:jc w:val="both"/>
        <w:rPr>
          <w:rFonts w:ascii="Arial" w:eastAsia="Times New Roman" w:hAnsi="Arial" w:cs="Arial"/>
          <w:color w:val="C00000"/>
          <w:sz w:val="20"/>
          <w:szCs w:val="20"/>
          <w:lang w:eastAsia="es-ES"/>
        </w:rPr>
      </w:pPr>
      <w:r w:rsidRPr="006921AA">
        <w:rPr>
          <w:rFonts w:ascii="Arial" w:eastAsia="Times New Roman" w:hAnsi="Arial" w:cs="Arial"/>
          <w:sz w:val="20"/>
          <w:szCs w:val="20"/>
          <w:lang w:val="es-CO" w:eastAsia="es-ES"/>
        </w:rPr>
        <w:t xml:space="preserve">Finalizado el primer semestre de 2018, este </w:t>
      </w:r>
      <w:r w:rsidRPr="006921AA">
        <w:rPr>
          <w:rFonts w:ascii="Arial" w:eastAsia="Times New Roman" w:hAnsi="Arial" w:cs="Arial"/>
          <w:sz w:val="20"/>
          <w:szCs w:val="20"/>
          <w:lang w:eastAsia="es-ES"/>
        </w:rPr>
        <w:t xml:space="preserve">proyecto de inversión muestra un </w:t>
      </w:r>
      <w:r w:rsidRPr="006921AA">
        <w:rPr>
          <w:rFonts w:ascii="Arial" w:eastAsia="Calibri" w:hAnsi="Arial" w:cs="Arial"/>
          <w:sz w:val="20"/>
          <w:szCs w:val="20"/>
          <w:lang w:val="es-CO" w:eastAsia="es-CO"/>
        </w:rPr>
        <w:t>avance del 49,85% en compromisos y 47,4% en obligaciones y pagos con respecto a las apropiaciones vigentes. No obstante, tiene pendiente por comprometer $318.607.690.280,94</w:t>
      </w:r>
      <w:r w:rsidRPr="006921AA">
        <w:rPr>
          <w:rFonts w:ascii="Arial" w:eastAsia="Calibri" w:hAnsi="Arial" w:cs="Arial"/>
          <w:color w:val="C00000"/>
          <w:sz w:val="20"/>
          <w:szCs w:val="20"/>
          <w:lang w:val="es-CO" w:eastAsia="es-CO"/>
        </w:rPr>
        <w:t>.</w:t>
      </w:r>
    </w:p>
    <w:p w14:paraId="3863BF16" w14:textId="77777777" w:rsidR="00B71FFF" w:rsidRPr="006921AA" w:rsidRDefault="00B71FFF" w:rsidP="00B71FFF">
      <w:pPr>
        <w:spacing w:after="0"/>
        <w:jc w:val="both"/>
        <w:rPr>
          <w:rFonts w:ascii="Arial" w:eastAsia="Times New Roman" w:hAnsi="Arial" w:cs="Arial"/>
          <w:sz w:val="20"/>
          <w:szCs w:val="20"/>
          <w:lang w:val="es-CO" w:eastAsia="es-ES"/>
        </w:rPr>
      </w:pPr>
    </w:p>
    <w:p w14:paraId="65A69232" w14:textId="77777777" w:rsidR="00B71FFF" w:rsidRPr="006921AA" w:rsidRDefault="00B71FFF" w:rsidP="00B71FFF">
      <w:pPr>
        <w:spacing w:after="0"/>
        <w:jc w:val="both"/>
        <w:rPr>
          <w:rFonts w:ascii="Arial" w:eastAsia="Times New Roman" w:hAnsi="Arial" w:cs="Arial"/>
          <w:sz w:val="20"/>
          <w:szCs w:val="20"/>
          <w:lang w:val="es-CO" w:eastAsia="es-ES"/>
        </w:rPr>
      </w:pPr>
      <w:r w:rsidRPr="006921AA">
        <w:rPr>
          <w:rFonts w:ascii="Arial" w:eastAsia="Times New Roman" w:hAnsi="Arial" w:cs="Arial"/>
          <w:sz w:val="20"/>
          <w:szCs w:val="20"/>
          <w:lang w:val="es-CO" w:eastAsia="es-ES"/>
        </w:rPr>
        <w:t xml:space="preserve">Según reporte suscrito en el esquema financiero del sistema de seguimiento a proyectos de inversión (SPI) del DNP, el proyecto en mención presenta los siguientes avances: Financiero 47,40%; físico 64% y gestión 50%.  </w:t>
      </w:r>
    </w:p>
    <w:p w14:paraId="30E7F172" w14:textId="77777777" w:rsidR="00B71FFF" w:rsidRPr="006921AA" w:rsidRDefault="00B71FFF" w:rsidP="00BF519D">
      <w:pPr>
        <w:numPr>
          <w:ilvl w:val="0"/>
          <w:numId w:val="7"/>
        </w:numPr>
        <w:tabs>
          <w:tab w:val="left" w:pos="910"/>
        </w:tabs>
        <w:spacing w:after="0"/>
        <w:contextualSpacing/>
        <w:jc w:val="both"/>
        <w:rPr>
          <w:rFonts w:ascii="Arial" w:eastAsia="Calibri" w:hAnsi="Arial" w:cs="Arial"/>
          <w:sz w:val="20"/>
          <w:szCs w:val="20"/>
          <w:lang w:val="es-CO" w:eastAsia="es-CO"/>
        </w:rPr>
      </w:pPr>
      <w:r w:rsidRPr="006921AA">
        <w:rPr>
          <w:rFonts w:ascii="Arial" w:eastAsia="Calibri" w:hAnsi="Arial" w:cs="Arial"/>
          <w:sz w:val="20"/>
          <w:szCs w:val="20"/>
          <w:lang w:val="es-CO" w:eastAsia="es-CO"/>
        </w:rPr>
        <w:lastRenderedPageBreak/>
        <w:t xml:space="preserve">Implementación de las medidas de reparación individual y colectiva nacional. </w:t>
      </w:r>
    </w:p>
    <w:p w14:paraId="4D26791B" w14:textId="77777777" w:rsidR="00B71FFF" w:rsidRPr="006921AA" w:rsidRDefault="00B71FFF" w:rsidP="00B71FFF">
      <w:pPr>
        <w:tabs>
          <w:tab w:val="left" w:pos="910"/>
        </w:tabs>
        <w:spacing w:after="0"/>
        <w:ind w:left="720"/>
        <w:contextualSpacing/>
        <w:jc w:val="both"/>
        <w:rPr>
          <w:rFonts w:ascii="Arial" w:eastAsia="Calibri" w:hAnsi="Arial" w:cs="Arial"/>
          <w:sz w:val="20"/>
          <w:szCs w:val="20"/>
          <w:lang w:val="es-CO" w:eastAsia="es-CO"/>
        </w:rPr>
      </w:pPr>
    </w:p>
    <w:p w14:paraId="5800E0B7" w14:textId="77777777" w:rsidR="00B71FFF" w:rsidRPr="00B71FFF" w:rsidRDefault="00B71FFF" w:rsidP="00B71FFF">
      <w:pPr>
        <w:tabs>
          <w:tab w:val="left" w:pos="910"/>
        </w:tabs>
        <w:spacing w:after="0"/>
        <w:ind w:left="720"/>
        <w:contextualSpacing/>
        <w:jc w:val="both"/>
        <w:rPr>
          <w:rFonts w:ascii="Arial" w:eastAsia="Calibri" w:hAnsi="Arial" w:cs="Arial"/>
          <w:sz w:val="20"/>
          <w:szCs w:val="20"/>
          <w:lang w:eastAsia="es-CO"/>
        </w:rPr>
      </w:pPr>
      <w:r w:rsidRPr="00B71FFF">
        <w:rPr>
          <w:rFonts w:ascii="Arial" w:eastAsia="Calibri" w:hAnsi="Arial" w:cs="Arial"/>
          <w:sz w:val="20"/>
          <w:szCs w:val="20"/>
          <w:lang w:eastAsia="es-CO"/>
        </w:rPr>
        <w:t>Apropiación vigente: $161.040.967.516</w:t>
      </w:r>
    </w:p>
    <w:p w14:paraId="34B9B981" w14:textId="77777777" w:rsidR="00B71FFF" w:rsidRPr="00B71FFF" w:rsidRDefault="00B71FFF" w:rsidP="00B71FFF">
      <w:pPr>
        <w:tabs>
          <w:tab w:val="left" w:pos="910"/>
        </w:tabs>
        <w:spacing w:after="0"/>
        <w:ind w:left="720"/>
        <w:contextualSpacing/>
        <w:jc w:val="both"/>
        <w:rPr>
          <w:rFonts w:ascii="Arial" w:eastAsia="Calibri" w:hAnsi="Arial" w:cs="Arial"/>
          <w:sz w:val="20"/>
          <w:szCs w:val="20"/>
          <w:lang w:eastAsia="es-CO"/>
        </w:rPr>
      </w:pPr>
    </w:p>
    <w:p w14:paraId="540E485A" w14:textId="77777777" w:rsidR="00B71FFF" w:rsidRPr="00B71FFF" w:rsidRDefault="00B71FFF" w:rsidP="00B71FFF">
      <w:pPr>
        <w:tabs>
          <w:tab w:val="left" w:pos="910"/>
        </w:tabs>
        <w:spacing w:after="0"/>
        <w:jc w:val="both"/>
        <w:rPr>
          <w:rFonts w:ascii="Arial" w:eastAsia="Calibri" w:hAnsi="Arial" w:cs="Arial"/>
          <w:b/>
          <w:sz w:val="20"/>
          <w:szCs w:val="20"/>
          <w:lang w:val="es-CO" w:eastAsia="es-CO"/>
        </w:rPr>
      </w:pPr>
      <w:r w:rsidRPr="00B71FFF">
        <w:rPr>
          <w:rFonts w:eastAsia="Cambria"/>
          <w:noProof/>
          <w:sz w:val="20"/>
          <w:szCs w:val="20"/>
          <w:lang w:eastAsia="es-ES"/>
        </w:rPr>
        <w:drawing>
          <wp:inline distT="0" distB="0" distL="0" distR="0" wp14:anchorId="780DEC93" wp14:editId="03E8F024">
            <wp:extent cx="5610225" cy="809625"/>
            <wp:effectExtent l="0" t="0" r="9525" b="9525"/>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643190" cy="814382"/>
                    </a:xfrm>
                    <a:prstGeom prst="rect">
                      <a:avLst/>
                    </a:prstGeom>
                    <a:noFill/>
                    <a:ln>
                      <a:noFill/>
                    </a:ln>
                  </pic:spPr>
                </pic:pic>
              </a:graphicData>
            </a:graphic>
          </wp:inline>
        </w:drawing>
      </w:r>
    </w:p>
    <w:p w14:paraId="42FA9144" w14:textId="77777777" w:rsidR="004D028B" w:rsidRPr="004D028B" w:rsidRDefault="004D028B" w:rsidP="004D028B">
      <w:pPr>
        <w:tabs>
          <w:tab w:val="left" w:pos="910"/>
        </w:tabs>
        <w:spacing w:after="0" w:line="259" w:lineRule="auto"/>
        <w:rPr>
          <w:rFonts w:ascii="Arial" w:eastAsia="Times New Roman" w:hAnsi="Arial" w:cs="Arial"/>
          <w:sz w:val="10"/>
          <w:szCs w:val="20"/>
          <w:lang w:eastAsia="es-ES"/>
        </w:rPr>
      </w:pPr>
      <w:r w:rsidRPr="004D028B">
        <w:rPr>
          <w:rFonts w:ascii="Arial" w:eastAsia="Times New Roman" w:hAnsi="Arial" w:cs="Arial"/>
          <w:sz w:val="10"/>
          <w:szCs w:val="20"/>
          <w:lang w:eastAsia="es-ES"/>
        </w:rPr>
        <w:t xml:space="preserve">Fuente: Matriz Ejecución Presupuestal </w:t>
      </w:r>
      <w:proofErr w:type="gramStart"/>
      <w:r>
        <w:rPr>
          <w:rFonts w:ascii="Arial" w:eastAsia="Times New Roman" w:hAnsi="Arial" w:cs="Arial"/>
          <w:sz w:val="10"/>
          <w:szCs w:val="20"/>
          <w:lang w:eastAsia="es-ES"/>
        </w:rPr>
        <w:t>Junio</w:t>
      </w:r>
      <w:proofErr w:type="gramEnd"/>
      <w:r>
        <w:rPr>
          <w:rFonts w:ascii="Arial" w:eastAsia="Times New Roman" w:hAnsi="Arial" w:cs="Arial"/>
          <w:sz w:val="10"/>
          <w:szCs w:val="20"/>
          <w:lang w:eastAsia="es-ES"/>
        </w:rPr>
        <w:t xml:space="preserve"> 2018 </w:t>
      </w:r>
      <w:r w:rsidRPr="004D028B">
        <w:rPr>
          <w:rFonts w:ascii="Arial" w:eastAsia="Times New Roman" w:hAnsi="Arial" w:cs="Arial"/>
          <w:sz w:val="10"/>
          <w:szCs w:val="20"/>
          <w:lang w:eastAsia="es-ES"/>
        </w:rPr>
        <w:t xml:space="preserve">TOTORO </w:t>
      </w:r>
    </w:p>
    <w:p w14:paraId="21E7741C" w14:textId="77777777" w:rsidR="00B71FFF" w:rsidRPr="00B71FFF" w:rsidRDefault="00B71FFF" w:rsidP="00B71FFF">
      <w:pPr>
        <w:tabs>
          <w:tab w:val="left" w:pos="910"/>
        </w:tabs>
        <w:spacing w:after="0"/>
        <w:jc w:val="both"/>
        <w:rPr>
          <w:rFonts w:ascii="Arial" w:eastAsia="Calibri" w:hAnsi="Arial" w:cs="Arial"/>
          <w:sz w:val="20"/>
          <w:szCs w:val="20"/>
          <w:lang w:val="es-CO" w:eastAsia="es-CO"/>
        </w:rPr>
      </w:pPr>
    </w:p>
    <w:p w14:paraId="475E0EF8" w14:textId="77777777" w:rsidR="00B71FFF" w:rsidRPr="00B71FFF" w:rsidRDefault="00B71FFF" w:rsidP="00E376B9">
      <w:pPr>
        <w:tabs>
          <w:tab w:val="left" w:pos="910"/>
        </w:tabs>
        <w:spacing w:after="0"/>
        <w:jc w:val="both"/>
        <w:rPr>
          <w:rFonts w:ascii="Arial" w:eastAsia="Calibri" w:hAnsi="Arial" w:cs="Arial"/>
          <w:sz w:val="20"/>
          <w:szCs w:val="20"/>
          <w:lang w:val="es-CO" w:eastAsia="es-CO"/>
        </w:rPr>
      </w:pPr>
      <w:r w:rsidRPr="00B71FFF">
        <w:rPr>
          <w:rFonts w:ascii="Arial" w:eastAsia="Calibri" w:hAnsi="Arial" w:cs="Arial"/>
          <w:sz w:val="20"/>
          <w:szCs w:val="20"/>
          <w:lang w:val="es-CO" w:eastAsia="es-CO"/>
        </w:rPr>
        <w:t>El presente proyecto registra en el primer semestre de 2018, un avance acumulado del 55,27% en compromisos y 45,3% en obligaciones y pagos respecto a las apropiaciones vigentes. Sin embargo, tienen $72.033.584.387,54 pendientes por comprometer.</w:t>
      </w:r>
    </w:p>
    <w:p w14:paraId="7E710DCA" w14:textId="77777777" w:rsidR="00B71FFF" w:rsidRPr="00B71FFF" w:rsidRDefault="00B71FFF" w:rsidP="00E376B9">
      <w:pPr>
        <w:tabs>
          <w:tab w:val="left" w:pos="910"/>
        </w:tabs>
        <w:spacing w:after="0"/>
        <w:jc w:val="both"/>
        <w:rPr>
          <w:rFonts w:ascii="Arial" w:eastAsia="Calibri" w:hAnsi="Arial" w:cs="Arial"/>
          <w:b/>
          <w:sz w:val="20"/>
          <w:szCs w:val="20"/>
          <w:lang w:val="es-CO" w:eastAsia="es-CO"/>
        </w:rPr>
      </w:pPr>
    </w:p>
    <w:p w14:paraId="522B0C72" w14:textId="77777777" w:rsidR="00B71FFF" w:rsidRPr="00B71FFF" w:rsidRDefault="00B71FFF" w:rsidP="00E376B9">
      <w:pPr>
        <w:spacing w:after="0"/>
        <w:jc w:val="both"/>
        <w:rPr>
          <w:rFonts w:ascii="Arial" w:eastAsia="Times New Roman" w:hAnsi="Arial" w:cs="Arial"/>
          <w:sz w:val="20"/>
          <w:szCs w:val="20"/>
          <w:lang w:val="es-CO" w:eastAsia="es-ES"/>
        </w:rPr>
      </w:pPr>
      <w:r w:rsidRPr="00B71FFF">
        <w:rPr>
          <w:rFonts w:ascii="Arial" w:eastAsia="Times New Roman" w:hAnsi="Arial" w:cs="Arial"/>
          <w:sz w:val="20"/>
          <w:szCs w:val="20"/>
          <w:lang w:val="es-CO" w:eastAsia="es-ES"/>
        </w:rPr>
        <w:t xml:space="preserve">Asimismo, según la información que aparece registrada en el esquema financiero del sistema de seguimiento a proyectos de inversión (SPI) del DNP, este proyecto presenta los siguientes avances: Financiero 45,31%; físico 91% y gestión 20,30%.  </w:t>
      </w:r>
    </w:p>
    <w:p w14:paraId="58895A3D" w14:textId="77777777" w:rsidR="00B71FFF" w:rsidRPr="00B71FFF" w:rsidRDefault="00B71FFF" w:rsidP="00B71FFF">
      <w:pPr>
        <w:spacing w:after="0"/>
        <w:jc w:val="both"/>
        <w:rPr>
          <w:rFonts w:ascii="Arial" w:eastAsia="Times New Roman" w:hAnsi="Arial" w:cs="Arial"/>
          <w:sz w:val="20"/>
          <w:szCs w:val="20"/>
          <w:lang w:val="es-CO" w:eastAsia="es-ES"/>
        </w:rPr>
      </w:pPr>
    </w:p>
    <w:p w14:paraId="2857B46C" w14:textId="77777777" w:rsidR="00B71FFF" w:rsidRPr="006921AA" w:rsidRDefault="00B71FFF" w:rsidP="00BF519D">
      <w:pPr>
        <w:numPr>
          <w:ilvl w:val="0"/>
          <w:numId w:val="7"/>
        </w:numPr>
        <w:tabs>
          <w:tab w:val="left" w:pos="910"/>
        </w:tabs>
        <w:spacing w:after="0"/>
        <w:contextualSpacing/>
        <w:jc w:val="both"/>
        <w:rPr>
          <w:rFonts w:ascii="Arial" w:eastAsia="Calibri" w:hAnsi="Arial" w:cs="Arial"/>
          <w:sz w:val="20"/>
          <w:szCs w:val="20"/>
          <w:lang w:val="es-CO" w:eastAsia="es-CO"/>
        </w:rPr>
      </w:pPr>
      <w:r w:rsidRPr="006921AA">
        <w:rPr>
          <w:rFonts w:ascii="Arial" w:eastAsia="Calibri" w:hAnsi="Arial" w:cs="Arial"/>
          <w:sz w:val="20"/>
          <w:szCs w:val="20"/>
          <w:lang w:val="es-CO" w:eastAsia="es-CO"/>
        </w:rPr>
        <w:t>Implementación del plan estratégico de tecnología de la información para asistencia, atención y reparación integral a las víctimas a nivel nacional.</w:t>
      </w:r>
    </w:p>
    <w:p w14:paraId="47B15A0B" w14:textId="77777777" w:rsidR="00B71FFF" w:rsidRPr="006921AA" w:rsidRDefault="00B71FFF" w:rsidP="00B71FFF">
      <w:pPr>
        <w:tabs>
          <w:tab w:val="left" w:pos="910"/>
        </w:tabs>
        <w:spacing w:after="0"/>
        <w:ind w:left="720"/>
        <w:contextualSpacing/>
        <w:jc w:val="both"/>
        <w:rPr>
          <w:rFonts w:ascii="Arial" w:eastAsia="Calibri" w:hAnsi="Arial" w:cs="Arial"/>
          <w:sz w:val="20"/>
          <w:szCs w:val="20"/>
          <w:lang w:val="es-CO" w:eastAsia="es-CO"/>
        </w:rPr>
      </w:pPr>
    </w:p>
    <w:p w14:paraId="79D8246B" w14:textId="77777777" w:rsidR="00B71FFF" w:rsidRPr="00B71FFF" w:rsidRDefault="00B71FFF" w:rsidP="00B71FFF">
      <w:pPr>
        <w:tabs>
          <w:tab w:val="left" w:pos="910"/>
        </w:tabs>
        <w:spacing w:after="0"/>
        <w:ind w:left="720"/>
        <w:contextualSpacing/>
        <w:jc w:val="both"/>
        <w:rPr>
          <w:rFonts w:ascii="Arial" w:eastAsia="Calibri" w:hAnsi="Arial" w:cs="Arial"/>
          <w:sz w:val="20"/>
          <w:szCs w:val="20"/>
          <w:lang w:eastAsia="es-CO"/>
        </w:rPr>
      </w:pPr>
      <w:r w:rsidRPr="006921AA">
        <w:rPr>
          <w:rFonts w:ascii="Arial" w:eastAsia="Calibri" w:hAnsi="Arial" w:cs="Arial"/>
          <w:sz w:val="20"/>
          <w:szCs w:val="20"/>
          <w:lang w:eastAsia="es-CO"/>
        </w:rPr>
        <w:t>Apropiación vigente: $31.000</w:t>
      </w:r>
      <w:r w:rsidRPr="00B71FFF">
        <w:rPr>
          <w:rFonts w:ascii="Arial" w:eastAsia="Calibri" w:hAnsi="Arial" w:cs="Arial"/>
          <w:sz w:val="20"/>
          <w:szCs w:val="20"/>
          <w:lang w:eastAsia="es-CO"/>
        </w:rPr>
        <w:t>.00.000</w:t>
      </w:r>
    </w:p>
    <w:p w14:paraId="73FA278F" w14:textId="77777777" w:rsidR="00B71FFF" w:rsidRPr="00B71FFF" w:rsidRDefault="00B71FFF" w:rsidP="00B71FFF">
      <w:pPr>
        <w:tabs>
          <w:tab w:val="left" w:pos="910"/>
        </w:tabs>
        <w:spacing w:after="0"/>
        <w:ind w:left="720"/>
        <w:contextualSpacing/>
        <w:jc w:val="both"/>
        <w:rPr>
          <w:rFonts w:ascii="Arial" w:eastAsia="Calibri" w:hAnsi="Arial" w:cs="Arial"/>
          <w:sz w:val="20"/>
          <w:szCs w:val="20"/>
          <w:lang w:eastAsia="es-CO"/>
        </w:rPr>
      </w:pPr>
    </w:p>
    <w:p w14:paraId="5ECCA18B" w14:textId="77777777" w:rsidR="00B71FFF" w:rsidRPr="00B71FFF" w:rsidRDefault="00B71FFF" w:rsidP="00B71FFF">
      <w:pPr>
        <w:tabs>
          <w:tab w:val="left" w:pos="910"/>
        </w:tabs>
        <w:spacing w:after="0"/>
        <w:jc w:val="both"/>
        <w:rPr>
          <w:rFonts w:ascii="Arial" w:eastAsia="Calibri" w:hAnsi="Arial" w:cs="Arial"/>
          <w:b/>
          <w:sz w:val="20"/>
          <w:szCs w:val="20"/>
          <w:lang w:val="es-CO" w:eastAsia="es-CO"/>
        </w:rPr>
      </w:pPr>
      <w:r w:rsidRPr="00B71FFF">
        <w:rPr>
          <w:rFonts w:eastAsia="Cambria"/>
          <w:noProof/>
          <w:sz w:val="20"/>
          <w:szCs w:val="20"/>
          <w:lang w:eastAsia="es-ES"/>
        </w:rPr>
        <w:drawing>
          <wp:inline distT="0" distB="0" distL="0" distR="0" wp14:anchorId="4629390A" wp14:editId="3F36F836">
            <wp:extent cx="5619750" cy="695325"/>
            <wp:effectExtent l="0" t="0" r="0" b="9525"/>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715971" cy="707230"/>
                    </a:xfrm>
                    <a:prstGeom prst="rect">
                      <a:avLst/>
                    </a:prstGeom>
                    <a:noFill/>
                    <a:ln>
                      <a:noFill/>
                    </a:ln>
                  </pic:spPr>
                </pic:pic>
              </a:graphicData>
            </a:graphic>
          </wp:inline>
        </w:drawing>
      </w:r>
    </w:p>
    <w:p w14:paraId="6B5E306E" w14:textId="77777777" w:rsidR="004D028B" w:rsidRPr="004D028B" w:rsidRDefault="004D028B" w:rsidP="004D028B">
      <w:pPr>
        <w:tabs>
          <w:tab w:val="left" w:pos="910"/>
        </w:tabs>
        <w:spacing w:after="0" w:line="259" w:lineRule="auto"/>
        <w:rPr>
          <w:rFonts w:ascii="Arial" w:eastAsia="Times New Roman" w:hAnsi="Arial" w:cs="Arial"/>
          <w:sz w:val="10"/>
          <w:szCs w:val="20"/>
          <w:lang w:eastAsia="es-ES"/>
        </w:rPr>
      </w:pPr>
      <w:r w:rsidRPr="004D028B">
        <w:rPr>
          <w:rFonts w:ascii="Arial" w:eastAsia="Times New Roman" w:hAnsi="Arial" w:cs="Arial"/>
          <w:sz w:val="10"/>
          <w:szCs w:val="20"/>
          <w:lang w:eastAsia="es-ES"/>
        </w:rPr>
        <w:t xml:space="preserve">Fuente: Matriz Ejecución Presupuestal </w:t>
      </w:r>
      <w:proofErr w:type="gramStart"/>
      <w:r>
        <w:rPr>
          <w:rFonts w:ascii="Arial" w:eastAsia="Times New Roman" w:hAnsi="Arial" w:cs="Arial"/>
          <w:sz w:val="10"/>
          <w:szCs w:val="20"/>
          <w:lang w:eastAsia="es-ES"/>
        </w:rPr>
        <w:t>Junio</w:t>
      </w:r>
      <w:proofErr w:type="gramEnd"/>
      <w:r>
        <w:rPr>
          <w:rFonts w:ascii="Arial" w:eastAsia="Times New Roman" w:hAnsi="Arial" w:cs="Arial"/>
          <w:sz w:val="10"/>
          <w:szCs w:val="20"/>
          <w:lang w:eastAsia="es-ES"/>
        </w:rPr>
        <w:t xml:space="preserve"> 2018 </w:t>
      </w:r>
      <w:r w:rsidRPr="004D028B">
        <w:rPr>
          <w:rFonts w:ascii="Arial" w:eastAsia="Times New Roman" w:hAnsi="Arial" w:cs="Arial"/>
          <w:sz w:val="10"/>
          <w:szCs w:val="20"/>
          <w:lang w:eastAsia="es-ES"/>
        </w:rPr>
        <w:t xml:space="preserve">TOTORO </w:t>
      </w:r>
    </w:p>
    <w:p w14:paraId="59DE6649" w14:textId="77777777" w:rsidR="00CB7B63" w:rsidRDefault="00CB7B63" w:rsidP="00B71FFF">
      <w:pPr>
        <w:tabs>
          <w:tab w:val="left" w:pos="910"/>
        </w:tabs>
        <w:spacing w:after="0"/>
        <w:jc w:val="both"/>
        <w:rPr>
          <w:rFonts w:ascii="Arial" w:eastAsia="Calibri" w:hAnsi="Arial" w:cs="Arial"/>
          <w:sz w:val="20"/>
          <w:szCs w:val="20"/>
          <w:lang w:val="es-CO" w:eastAsia="es-CO"/>
        </w:rPr>
      </w:pPr>
    </w:p>
    <w:p w14:paraId="210C51D0" w14:textId="275DF074" w:rsidR="00B71FFF" w:rsidRPr="00B71FFF" w:rsidRDefault="00B71FFF" w:rsidP="00B71FFF">
      <w:pPr>
        <w:tabs>
          <w:tab w:val="left" w:pos="910"/>
        </w:tabs>
        <w:spacing w:after="0"/>
        <w:jc w:val="both"/>
        <w:rPr>
          <w:rFonts w:ascii="Arial" w:eastAsia="Calibri" w:hAnsi="Arial" w:cs="Arial"/>
          <w:sz w:val="20"/>
          <w:szCs w:val="20"/>
          <w:lang w:val="es-CO" w:eastAsia="es-CO"/>
        </w:rPr>
      </w:pPr>
      <w:r w:rsidRPr="00B71FFF">
        <w:rPr>
          <w:rFonts w:ascii="Arial" w:eastAsia="Calibri" w:hAnsi="Arial" w:cs="Arial"/>
          <w:sz w:val="20"/>
          <w:szCs w:val="20"/>
          <w:lang w:val="es-CO" w:eastAsia="es-CO"/>
        </w:rPr>
        <w:t>Este proyecto de inversión muestra un avance del 66,52% en compromisos y 29,5% en obligaciones y pagos respecto a las apropiaciones vigentes. Están pendientes por comprometer $10.378. 846.386,15</w:t>
      </w:r>
    </w:p>
    <w:p w14:paraId="70AB52EE" w14:textId="77777777" w:rsidR="00B71FFF" w:rsidRPr="006921AA" w:rsidRDefault="00B71FFF" w:rsidP="00B71FFF">
      <w:pPr>
        <w:tabs>
          <w:tab w:val="left" w:pos="910"/>
        </w:tabs>
        <w:spacing w:after="0"/>
        <w:jc w:val="both"/>
        <w:rPr>
          <w:rFonts w:ascii="Arial" w:eastAsia="Calibri" w:hAnsi="Arial" w:cs="Arial"/>
          <w:sz w:val="20"/>
          <w:szCs w:val="20"/>
          <w:lang w:val="es-CO" w:eastAsia="es-CO"/>
        </w:rPr>
      </w:pPr>
    </w:p>
    <w:p w14:paraId="77996167" w14:textId="77777777" w:rsidR="00B71FFF" w:rsidRPr="006921AA" w:rsidRDefault="00B71FFF" w:rsidP="00B71FFF">
      <w:pPr>
        <w:spacing w:after="0"/>
        <w:jc w:val="both"/>
        <w:rPr>
          <w:rFonts w:ascii="Arial" w:eastAsia="Times New Roman" w:hAnsi="Arial" w:cs="Arial"/>
          <w:sz w:val="20"/>
          <w:szCs w:val="20"/>
          <w:lang w:val="es-CO" w:eastAsia="es-ES"/>
        </w:rPr>
      </w:pPr>
      <w:r w:rsidRPr="006921AA">
        <w:rPr>
          <w:rFonts w:ascii="Arial" w:eastAsia="Times New Roman" w:hAnsi="Arial" w:cs="Arial"/>
          <w:sz w:val="20"/>
          <w:szCs w:val="20"/>
          <w:lang w:val="es-CO" w:eastAsia="es-ES"/>
        </w:rPr>
        <w:t xml:space="preserve">Según reporte descrito en el esquema financiero del sistema de seguimiento a proyectos de inversión (SPI) del DNP, este proyecto registra los siguientes avances: Financiero 29,45%; físico 49% y gestión 39,20%.  </w:t>
      </w:r>
    </w:p>
    <w:p w14:paraId="523AB0D1" w14:textId="77777777" w:rsidR="00B71FFF" w:rsidRPr="006921AA" w:rsidRDefault="00B71FFF" w:rsidP="00B71FFF">
      <w:pPr>
        <w:tabs>
          <w:tab w:val="left" w:pos="910"/>
        </w:tabs>
        <w:spacing w:after="0"/>
        <w:jc w:val="both"/>
        <w:rPr>
          <w:rFonts w:ascii="Arial" w:eastAsia="Calibri" w:hAnsi="Arial" w:cs="Arial"/>
          <w:sz w:val="20"/>
          <w:szCs w:val="20"/>
          <w:lang w:val="es-CO" w:eastAsia="es-CO"/>
        </w:rPr>
      </w:pPr>
    </w:p>
    <w:p w14:paraId="309E1A44" w14:textId="77777777" w:rsidR="00B71FFF" w:rsidRPr="00B71FFF" w:rsidRDefault="00B71FFF" w:rsidP="00B71FFF">
      <w:pPr>
        <w:tabs>
          <w:tab w:val="left" w:pos="910"/>
        </w:tabs>
        <w:spacing w:after="0"/>
        <w:jc w:val="both"/>
        <w:rPr>
          <w:rFonts w:ascii="Arial" w:eastAsia="Calibri" w:hAnsi="Arial" w:cs="Arial"/>
          <w:sz w:val="20"/>
          <w:szCs w:val="20"/>
          <w:lang w:val="es-CO" w:eastAsia="es-CO"/>
        </w:rPr>
      </w:pPr>
      <w:r w:rsidRPr="006921AA">
        <w:rPr>
          <w:rFonts w:ascii="Arial" w:eastAsia="Calibri" w:hAnsi="Arial" w:cs="Arial"/>
          <w:sz w:val="20"/>
          <w:szCs w:val="20"/>
          <w:lang w:val="es-CO" w:eastAsia="es-CO"/>
        </w:rPr>
        <w:t>Se alerta ante una ejecución del 29,5% en obligaciones</w:t>
      </w:r>
      <w:r w:rsidRPr="00B71FFF">
        <w:rPr>
          <w:rFonts w:ascii="Arial" w:eastAsia="Calibri" w:hAnsi="Arial" w:cs="Arial"/>
          <w:sz w:val="20"/>
          <w:szCs w:val="20"/>
          <w:lang w:val="es-CO" w:eastAsia="es-CO"/>
        </w:rPr>
        <w:t xml:space="preserve">.  </w:t>
      </w:r>
    </w:p>
    <w:p w14:paraId="3C628276" w14:textId="77777777" w:rsidR="00B71FFF" w:rsidRPr="00B71FFF" w:rsidRDefault="00B71FFF" w:rsidP="00B71FFF">
      <w:pPr>
        <w:tabs>
          <w:tab w:val="left" w:pos="910"/>
        </w:tabs>
        <w:spacing w:after="0"/>
        <w:jc w:val="both"/>
        <w:rPr>
          <w:rFonts w:ascii="Arial" w:eastAsia="Calibri" w:hAnsi="Arial" w:cs="Arial"/>
          <w:color w:val="C00000"/>
          <w:sz w:val="20"/>
          <w:szCs w:val="20"/>
          <w:lang w:val="es-CO" w:eastAsia="es-CO"/>
        </w:rPr>
      </w:pPr>
    </w:p>
    <w:p w14:paraId="2A33C7F4" w14:textId="77777777" w:rsidR="00B71FFF" w:rsidRPr="00B71FFF" w:rsidRDefault="00B71FFF" w:rsidP="00B71FFF">
      <w:pPr>
        <w:tabs>
          <w:tab w:val="left" w:pos="910"/>
        </w:tabs>
        <w:spacing w:after="0"/>
        <w:contextualSpacing/>
        <w:jc w:val="both"/>
        <w:rPr>
          <w:rFonts w:ascii="Arial" w:eastAsia="MS Mincho" w:hAnsi="Arial" w:cs="Arial"/>
          <w:b/>
          <w:sz w:val="20"/>
          <w:szCs w:val="20"/>
          <w:lang w:eastAsia="es-ES"/>
        </w:rPr>
      </w:pPr>
      <w:r w:rsidRPr="00B71FFF">
        <w:rPr>
          <w:rFonts w:ascii="Arial" w:eastAsia="MS Mincho" w:hAnsi="Arial" w:cs="Arial"/>
          <w:b/>
          <w:sz w:val="20"/>
          <w:szCs w:val="20"/>
          <w:lang w:eastAsia="es-ES"/>
        </w:rPr>
        <w:t xml:space="preserve">Reservas Presupuestales </w:t>
      </w:r>
    </w:p>
    <w:p w14:paraId="1F8AA260" w14:textId="77777777" w:rsidR="00B71FFF" w:rsidRPr="00B71FFF" w:rsidRDefault="00B71FFF" w:rsidP="00B71FFF">
      <w:pPr>
        <w:tabs>
          <w:tab w:val="left" w:pos="910"/>
        </w:tabs>
        <w:spacing w:after="0"/>
        <w:jc w:val="both"/>
        <w:rPr>
          <w:rFonts w:ascii="Arial" w:eastAsia="MS Mincho" w:hAnsi="Arial" w:cs="Arial"/>
          <w:b/>
          <w:sz w:val="20"/>
          <w:szCs w:val="20"/>
          <w:lang w:eastAsia="es-ES"/>
        </w:rPr>
      </w:pPr>
    </w:p>
    <w:p w14:paraId="24840256" w14:textId="77777777" w:rsidR="00B71FFF" w:rsidRPr="00B71FFF" w:rsidRDefault="00B71FFF" w:rsidP="00B71FFF">
      <w:pPr>
        <w:shd w:val="clear" w:color="auto" w:fill="FFFFFF"/>
        <w:tabs>
          <w:tab w:val="left" w:pos="1455"/>
        </w:tabs>
        <w:spacing w:after="0"/>
        <w:ind w:hanging="142"/>
        <w:jc w:val="both"/>
        <w:rPr>
          <w:rFonts w:ascii="Arial" w:eastAsia="Calibri" w:hAnsi="Arial" w:cs="Arial"/>
          <w:sz w:val="20"/>
          <w:szCs w:val="20"/>
          <w:lang w:val="es-CO" w:eastAsia="es-CO"/>
        </w:rPr>
      </w:pPr>
      <w:r w:rsidRPr="00B71FFF">
        <w:rPr>
          <w:rFonts w:ascii="Arial" w:eastAsia="Times New Roman" w:hAnsi="Arial" w:cs="Arial"/>
          <w:sz w:val="20"/>
          <w:szCs w:val="20"/>
          <w:lang w:val="es-CO" w:eastAsia="es-CO"/>
        </w:rPr>
        <w:t xml:space="preserve">  En lo que concierne a reserva presupuestal, finalizado el primer semestre de 2018, se han obligado $12.777.550.732,65 y pagado </w:t>
      </w:r>
      <w:r w:rsidRPr="00B71FFF">
        <w:rPr>
          <w:rFonts w:ascii="Arial" w:eastAsia="Calibri" w:hAnsi="Arial" w:cs="Arial"/>
          <w:sz w:val="20"/>
          <w:szCs w:val="20"/>
          <w:lang w:val="es-CO" w:eastAsia="es-CO"/>
        </w:rPr>
        <w:t>$11.979.136.023,65</w:t>
      </w:r>
      <w:r w:rsidRPr="00B71FFF">
        <w:rPr>
          <w:rFonts w:ascii="Arial" w:eastAsia="Calibri" w:hAnsi="Arial" w:cs="Arial"/>
          <w:color w:val="C00000"/>
          <w:sz w:val="20"/>
          <w:szCs w:val="20"/>
          <w:lang w:val="es-CO" w:eastAsia="es-CO"/>
        </w:rPr>
        <w:t xml:space="preserve"> </w:t>
      </w:r>
      <w:r w:rsidRPr="00B71FFF">
        <w:rPr>
          <w:rFonts w:ascii="Arial" w:eastAsia="Calibri" w:hAnsi="Arial" w:cs="Arial"/>
          <w:sz w:val="20"/>
          <w:szCs w:val="20"/>
          <w:lang w:val="es-CO" w:eastAsia="es-CO"/>
        </w:rPr>
        <w:t>respecto a los compromisos (17.315.042.088,65),</w:t>
      </w:r>
      <w:r w:rsidRPr="00B71FFF">
        <w:rPr>
          <w:rFonts w:ascii="Arial" w:eastAsia="Calibri" w:hAnsi="Arial" w:cs="Arial"/>
          <w:color w:val="C00000"/>
          <w:sz w:val="20"/>
          <w:szCs w:val="20"/>
          <w:lang w:val="es-CO" w:eastAsia="es-CO"/>
        </w:rPr>
        <w:t xml:space="preserve"> </w:t>
      </w:r>
      <w:r w:rsidRPr="00B71FFF">
        <w:rPr>
          <w:rFonts w:ascii="Arial" w:eastAsia="Calibri" w:hAnsi="Arial" w:cs="Arial"/>
          <w:sz w:val="20"/>
          <w:szCs w:val="20"/>
          <w:lang w:val="es-CO" w:eastAsia="es-CO"/>
        </w:rPr>
        <w:t xml:space="preserve">equivalentes al 73,79% y 69,18% respectivamente. Por consiguiente, están pendientes por ejecutar $5.335.906.065, donde los valores más representativos están reflejados en los proyectos de inversión </w:t>
      </w:r>
      <w:r w:rsidRPr="00A751CC">
        <w:rPr>
          <w:rFonts w:ascii="Arial" w:eastAsia="Calibri" w:hAnsi="Arial" w:cs="Arial"/>
          <w:i/>
          <w:sz w:val="20"/>
          <w:szCs w:val="20"/>
          <w:lang w:val="es-CO" w:eastAsia="es-CO"/>
        </w:rPr>
        <w:t xml:space="preserve">“Apoyo a entidades territoriales a través de la cofinanciación para la asistencia, atención, y reparación integral a las víctimas del desplazamiento” </w:t>
      </w:r>
      <w:r w:rsidRPr="00B71FFF">
        <w:rPr>
          <w:rFonts w:ascii="Arial" w:eastAsia="Calibri" w:hAnsi="Arial" w:cs="Arial"/>
          <w:sz w:val="20"/>
          <w:szCs w:val="20"/>
          <w:lang w:val="es-CO" w:eastAsia="es-CO"/>
        </w:rPr>
        <w:t xml:space="preserve">e </w:t>
      </w:r>
      <w:r w:rsidRPr="00A751CC">
        <w:rPr>
          <w:rFonts w:ascii="Arial" w:eastAsia="Calibri" w:hAnsi="Arial" w:cs="Arial"/>
          <w:i/>
          <w:sz w:val="20"/>
          <w:szCs w:val="20"/>
          <w:lang w:val="es-CO" w:eastAsia="es-CO"/>
        </w:rPr>
        <w:t>“Implementación de procesos  de retorno o reubicación de víctimas de desplazamiento forzado, en el marco de la reparación integral a nivel nacional”</w:t>
      </w:r>
      <w:r w:rsidRPr="00B71FFF">
        <w:rPr>
          <w:rFonts w:ascii="Arial" w:eastAsia="Calibri" w:hAnsi="Arial" w:cs="Arial"/>
          <w:sz w:val="20"/>
          <w:szCs w:val="20"/>
          <w:lang w:val="es-CO" w:eastAsia="es-CO"/>
        </w:rPr>
        <w:t xml:space="preserve"> por $1.967.075.977 y $1.252.922.854, información que se evidencia en el siguiente cuadro, así:   </w:t>
      </w:r>
    </w:p>
    <w:p w14:paraId="775A5F53" w14:textId="77777777" w:rsidR="00B71FFF" w:rsidRPr="00B71FFF" w:rsidRDefault="00B71FFF" w:rsidP="00B71FFF">
      <w:pPr>
        <w:shd w:val="clear" w:color="auto" w:fill="FFFFFF"/>
        <w:tabs>
          <w:tab w:val="left" w:pos="1455"/>
        </w:tabs>
        <w:spacing w:after="0"/>
        <w:ind w:hanging="142"/>
        <w:jc w:val="both"/>
        <w:rPr>
          <w:rFonts w:ascii="Arial" w:eastAsia="Calibri" w:hAnsi="Arial" w:cs="Arial"/>
          <w:sz w:val="20"/>
          <w:szCs w:val="20"/>
          <w:lang w:val="es-CO" w:eastAsia="es-CO"/>
        </w:rPr>
      </w:pPr>
    </w:p>
    <w:p w14:paraId="6107FB4C" w14:textId="77777777" w:rsidR="00EA5C9B" w:rsidRDefault="00EA5C9B" w:rsidP="00457C59">
      <w:pPr>
        <w:shd w:val="clear" w:color="auto" w:fill="FFFFFF"/>
        <w:tabs>
          <w:tab w:val="left" w:pos="1455"/>
        </w:tabs>
        <w:spacing w:after="0"/>
        <w:ind w:hanging="142"/>
        <w:jc w:val="center"/>
        <w:rPr>
          <w:rFonts w:ascii="Arial" w:eastAsia="Times New Roman" w:hAnsi="Arial" w:cs="Arial"/>
          <w:sz w:val="10"/>
          <w:szCs w:val="20"/>
          <w:lang w:eastAsia="es-ES"/>
        </w:rPr>
      </w:pPr>
      <w:r w:rsidRPr="00EA5C9B">
        <w:rPr>
          <w:noProof/>
          <w:lang w:eastAsia="es-ES"/>
        </w:rPr>
        <w:lastRenderedPageBreak/>
        <w:drawing>
          <wp:inline distT="0" distB="0" distL="0" distR="0" wp14:anchorId="1F794D0D" wp14:editId="638B3C28">
            <wp:extent cx="5637530" cy="2847975"/>
            <wp:effectExtent l="0" t="0" r="1270" b="9525"/>
            <wp:docPr id="68" name="Imagen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752251" cy="2905930"/>
                    </a:xfrm>
                    <a:prstGeom prst="rect">
                      <a:avLst/>
                    </a:prstGeom>
                    <a:noFill/>
                    <a:ln>
                      <a:noFill/>
                    </a:ln>
                  </pic:spPr>
                </pic:pic>
              </a:graphicData>
            </a:graphic>
          </wp:inline>
        </w:drawing>
      </w:r>
    </w:p>
    <w:p w14:paraId="1325D749" w14:textId="77777777" w:rsidR="00CB7B63" w:rsidRDefault="004D028B" w:rsidP="00CB7B63">
      <w:pPr>
        <w:shd w:val="clear" w:color="auto" w:fill="FFFFFF"/>
        <w:tabs>
          <w:tab w:val="left" w:pos="1455"/>
        </w:tabs>
        <w:spacing w:after="0"/>
        <w:ind w:hanging="142"/>
        <w:rPr>
          <w:rFonts w:ascii="Arial" w:eastAsia="Times New Roman" w:hAnsi="Arial" w:cs="Arial"/>
          <w:sz w:val="10"/>
          <w:szCs w:val="20"/>
          <w:lang w:eastAsia="es-ES"/>
        </w:rPr>
      </w:pPr>
      <w:r w:rsidRPr="004D028B">
        <w:rPr>
          <w:rFonts w:ascii="Arial" w:eastAsia="Times New Roman" w:hAnsi="Arial" w:cs="Arial"/>
          <w:sz w:val="10"/>
          <w:szCs w:val="20"/>
          <w:lang w:eastAsia="es-ES"/>
        </w:rPr>
        <w:t xml:space="preserve">Fuente: Matriz Ejecución Presupuestal </w:t>
      </w:r>
      <w:proofErr w:type="gramStart"/>
      <w:r>
        <w:rPr>
          <w:rFonts w:ascii="Arial" w:eastAsia="Times New Roman" w:hAnsi="Arial" w:cs="Arial"/>
          <w:sz w:val="10"/>
          <w:szCs w:val="20"/>
          <w:lang w:eastAsia="es-ES"/>
        </w:rPr>
        <w:t>Junio</w:t>
      </w:r>
      <w:proofErr w:type="gramEnd"/>
      <w:r>
        <w:rPr>
          <w:rFonts w:ascii="Arial" w:eastAsia="Times New Roman" w:hAnsi="Arial" w:cs="Arial"/>
          <w:sz w:val="10"/>
          <w:szCs w:val="20"/>
          <w:lang w:eastAsia="es-ES"/>
        </w:rPr>
        <w:t xml:space="preserve"> 2018 </w:t>
      </w:r>
      <w:r w:rsidRPr="004D028B">
        <w:rPr>
          <w:rFonts w:ascii="Arial" w:eastAsia="Times New Roman" w:hAnsi="Arial" w:cs="Arial"/>
          <w:sz w:val="10"/>
          <w:szCs w:val="20"/>
          <w:lang w:eastAsia="es-ES"/>
        </w:rPr>
        <w:t>TOTORO</w:t>
      </w:r>
    </w:p>
    <w:p w14:paraId="4524C4CC" w14:textId="77777777" w:rsidR="00E376B9" w:rsidRDefault="00E376B9" w:rsidP="00575BE5">
      <w:pPr>
        <w:shd w:val="clear" w:color="auto" w:fill="FFFFFF"/>
        <w:tabs>
          <w:tab w:val="left" w:pos="1455"/>
        </w:tabs>
        <w:spacing w:after="0"/>
        <w:ind w:left="-142"/>
        <w:jc w:val="both"/>
        <w:rPr>
          <w:rFonts w:ascii="Arial" w:eastAsia="Calibri" w:hAnsi="Arial" w:cs="Arial"/>
          <w:sz w:val="20"/>
          <w:szCs w:val="20"/>
          <w:lang w:val="es-CO" w:eastAsia="es-CO"/>
        </w:rPr>
      </w:pPr>
    </w:p>
    <w:p w14:paraId="094F4BBB" w14:textId="77777777" w:rsidR="00CB7B63" w:rsidRDefault="00B71FFF" w:rsidP="00575BE5">
      <w:pPr>
        <w:shd w:val="clear" w:color="auto" w:fill="FFFFFF"/>
        <w:tabs>
          <w:tab w:val="left" w:pos="1455"/>
        </w:tabs>
        <w:spacing w:after="0"/>
        <w:ind w:left="-142"/>
        <w:jc w:val="both"/>
        <w:rPr>
          <w:rFonts w:ascii="Arial" w:eastAsia="Times New Roman" w:hAnsi="Arial" w:cs="Arial"/>
          <w:sz w:val="10"/>
          <w:szCs w:val="20"/>
          <w:lang w:eastAsia="es-ES"/>
        </w:rPr>
      </w:pPr>
      <w:r w:rsidRPr="00B71FFF">
        <w:rPr>
          <w:rFonts w:ascii="Arial" w:eastAsia="Calibri" w:hAnsi="Arial" w:cs="Arial"/>
          <w:sz w:val="20"/>
          <w:szCs w:val="20"/>
          <w:lang w:val="es-CO" w:eastAsia="es-CO"/>
        </w:rPr>
        <w:t xml:space="preserve">De igual manera, se observa que en el proyecto de inversión </w:t>
      </w:r>
      <w:r w:rsidRPr="001109B8">
        <w:rPr>
          <w:rFonts w:ascii="Arial" w:eastAsia="Calibri" w:hAnsi="Arial" w:cs="Arial"/>
          <w:i/>
          <w:sz w:val="20"/>
          <w:szCs w:val="20"/>
          <w:lang w:val="es-CO" w:eastAsia="es-CO"/>
        </w:rPr>
        <w:t>“Implementación de las medidas d</w:t>
      </w:r>
      <w:r w:rsidR="00CB7B63">
        <w:rPr>
          <w:rFonts w:ascii="Arial" w:eastAsia="Calibri" w:hAnsi="Arial" w:cs="Arial"/>
          <w:i/>
          <w:sz w:val="20"/>
          <w:szCs w:val="20"/>
          <w:lang w:val="es-CO" w:eastAsia="es-CO"/>
        </w:rPr>
        <w:t xml:space="preserve">e </w:t>
      </w:r>
      <w:r w:rsidRPr="001109B8">
        <w:rPr>
          <w:rFonts w:ascii="Arial" w:eastAsia="Calibri" w:hAnsi="Arial" w:cs="Arial"/>
          <w:i/>
          <w:sz w:val="20"/>
          <w:szCs w:val="20"/>
          <w:lang w:val="es-CO" w:eastAsia="es-CO"/>
        </w:rPr>
        <w:t>reparación individual y colectiva nacional</w:t>
      </w:r>
      <w:r w:rsidRPr="00B71FFF">
        <w:rPr>
          <w:rFonts w:ascii="Arial" w:eastAsia="Calibri" w:hAnsi="Arial" w:cs="Arial"/>
          <w:sz w:val="20"/>
          <w:szCs w:val="20"/>
          <w:lang w:val="es-CO" w:eastAsia="es-CO"/>
        </w:rPr>
        <w:t>”, se han obligado $235.620 (0,15%) de $156.808.680 comprometidos.</w:t>
      </w:r>
    </w:p>
    <w:p w14:paraId="53E1BB99" w14:textId="77777777" w:rsidR="00CB7B63" w:rsidRDefault="00CB7B63" w:rsidP="00575BE5">
      <w:pPr>
        <w:shd w:val="clear" w:color="auto" w:fill="FFFFFF"/>
        <w:tabs>
          <w:tab w:val="left" w:pos="1455"/>
        </w:tabs>
        <w:spacing w:after="0"/>
        <w:ind w:left="-142"/>
        <w:jc w:val="both"/>
        <w:rPr>
          <w:rFonts w:ascii="Arial" w:eastAsia="Times New Roman" w:hAnsi="Arial" w:cs="Arial"/>
          <w:sz w:val="10"/>
          <w:szCs w:val="20"/>
          <w:lang w:eastAsia="es-ES"/>
        </w:rPr>
      </w:pPr>
    </w:p>
    <w:p w14:paraId="4C988F7C" w14:textId="4218FE54" w:rsidR="00B71FFF" w:rsidRPr="00CB7B63" w:rsidRDefault="00B71FFF" w:rsidP="00575BE5">
      <w:pPr>
        <w:shd w:val="clear" w:color="auto" w:fill="FFFFFF"/>
        <w:tabs>
          <w:tab w:val="left" w:pos="1455"/>
        </w:tabs>
        <w:spacing w:after="0"/>
        <w:ind w:left="-142"/>
        <w:jc w:val="both"/>
        <w:rPr>
          <w:rFonts w:ascii="Arial" w:eastAsia="Times New Roman" w:hAnsi="Arial" w:cs="Arial"/>
          <w:sz w:val="10"/>
          <w:szCs w:val="20"/>
          <w:lang w:eastAsia="es-ES"/>
        </w:rPr>
      </w:pPr>
      <w:r w:rsidRPr="00B71FFF">
        <w:rPr>
          <w:rFonts w:ascii="Arial" w:eastAsia="Cambria" w:hAnsi="Arial" w:cs="Arial"/>
          <w:noProof/>
          <w:sz w:val="20"/>
          <w:szCs w:val="20"/>
          <w:lang w:val="es-CO" w:eastAsia="es-ES"/>
        </w:rPr>
        <w:t xml:space="preserve">Adicional a lo anterior, </w:t>
      </w:r>
      <w:r w:rsidRPr="00B71FFF">
        <w:rPr>
          <w:rFonts w:ascii="Arial" w:eastAsia="Cambria" w:hAnsi="Arial" w:cs="Arial"/>
          <w:noProof/>
          <w:sz w:val="20"/>
          <w:szCs w:val="20"/>
          <w:lang w:eastAsia="es-ES"/>
        </w:rPr>
        <w:t xml:space="preserve">existe un rezago entre lo obligado y pagado por $798.414.709, el cual corresponde a los proyectos de inversiòn </w:t>
      </w:r>
      <w:r w:rsidRPr="001109B8">
        <w:rPr>
          <w:rFonts w:ascii="Arial" w:eastAsia="Cambria" w:hAnsi="Arial" w:cs="Arial"/>
          <w:i/>
          <w:noProof/>
          <w:sz w:val="20"/>
          <w:szCs w:val="20"/>
          <w:lang w:eastAsia="es-ES"/>
        </w:rPr>
        <w:t xml:space="preserve">“Mejoramiento de los canales de atenciòn y comunicaciòn para las vìctimas para facilitar su acceso a la oferta institucional” </w:t>
      </w:r>
      <w:r w:rsidRPr="00B71FFF">
        <w:rPr>
          <w:rFonts w:ascii="Arial" w:eastAsia="Cambria" w:hAnsi="Arial" w:cs="Arial"/>
          <w:noProof/>
          <w:sz w:val="20"/>
          <w:szCs w:val="20"/>
          <w:lang w:eastAsia="es-ES"/>
        </w:rPr>
        <w:t xml:space="preserve">e </w:t>
      </w:r>
      <w:r w:rsidRPr="001109B8">
        <w:rPr>
          <w:rFonts w:ascii="Arial" w:eastAsia="Cambria" w:hAnsi="Arial" w:cs="Arial"/>
          <w:i/>
          <w:noProof/>
          <w:sz w:val="20"/>
          <w:szCs w:val="20"/>
          <w:lang w:eastAsia="es-ES"/>
        </w:rPr>
        <w:t>“Implementaciòn de las medidas de reparaciòn individual y colectiva nacional”</w:t>
      </w:r>
      <w:r w:rsidRPr="00B71FFF">
        <w:rPr>
          <w:rFonts w:ascii="Arial" w:eastAsia="Cambria" w:hAnsi="Arial" w:cs="Arial"/>
          <w:noProof/>
          <w:sz w:val="20"/>
          <w:szCs w:val="20"/>
          <w:lang w:eastAsia="es-ES"/>
        </w:rPr>
        <w:t>, como se registra en el siguiente cuadro:</w:t>
      </w:r>
    </w:p>
    <w:p w14:paraId="18CFD60B" w14:textId="77777777" w:rsidR="00B71FFF" w:rsidRPr="00B71FFF" w:rsidRDefault="00EA5C9B" w:rsidP="00B71FFF">
      <w:pPr>
        <w:shd w:val="clear" w:color="auto" w:fill="FFFFFF"/>
        <w:tabs>
          <w:tab w:val="left" w:pos="1455"/>
        </w:tabs>
        <w:spacing w:after="0"/>
        <w:ind w:left="284" w:hanging="284"/>
        <w:jc w:val="center"/>
        <w:rPr>
          <w:rFonts w:eastAsia="Cambria"/>
          <w:noProof/>
          <w:sz w:val="20"/>
          <w:szCs w:val="20"/>
          <w:lang w:eastAsia="es-ES"/>
        </w:rPr>
      </w:pPr>
      <w:r w:rsidRPr="00EA5C9B">
        <w:rPr>
          <w:noProof/>
          <w:lang w:eastAsia="es-ES"/>
        </w:rPr>
        <w:drawing>
          <wp:inline distT="0" distB="0" distL="0" distR="0" wp14:anchorId="548E48C6" wp14:editId="7841431C">
            <wp:extent cx="5598795" cy="2524125"/>
            <wp:effectExtent l="19050" t="19050" r="20955" b="28575"/>
            <wp:docPr id="69" name="Imagen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660397" cy="2551897"/>
                    </a:xfrm>
                    <a:prstGeom prst="rect">
                      <a:avLst/>
                    </a:prstGeom>
                    <a:noFill/>
                    <a:ln w="12700">
                      <a:solidFill>
                        <a:schemeClr val="accent1"/>
                      </a:solidFill>
                    </a:ln>
                  </pic:spPr>
                </pic:pic>
              </a:graphicData>
            </a:graphic>
          </wp:inline>
        </w:drawing>
      </w:r>
    </w:p>
    <w:p w14:paraId="78531080" w14:textId="77777777" w:rsidR="004D028B" w:rsidRPr="004D028B" w:rsidRDefault="00EA5C9B" w:rsidP="004D028B">
      <w:pPr>
        <w:tabs>
          <w:tab w:val="left" w:pos="910"/>
        </w:tabs>
        <w:spacing w:after="0" w:line="259" w:lineRule="auto"/>
        <w:rPr>
          <w:rFonts w:ascii="Arial" w:eastAsia="Times New Roman" w:hAnsi="Arial" w:cs="Arial"/>
          <w:sz w:val="10"/>
          <w:szCs w:val="20"/>
          <w:lang w:eastAsia="es-ES"/>
        </w:rPr>
      </w:pPr>
      <w:r>
        <w:rPr>
          <w:rFonts w:ascii="Arial" w:eastAsia="Times New Roman" w:hAnsi="Arial" w:cs="Arial"/>
          <w:sz w:val="10"/>
          <w:szCs w:val="20"/>
          <w:lang w:eastAsia="es-ES"/>
        </w:rPr>
        <w:t xml:space="preserve">                             </w:t>
      </w:r>
      <w:r w:rsidR="004D028B" w:rsidRPr="004D028B">
        <w:rPr>
          <w:rFonts w:ascii="Arial" w:eastAsia="Times New Roman" w:hAnsi="Arial" w:cs="Arial"/>
          <w:sz w:val="10"/>
          <w:szCs w:val="20"/>
          <w:lang w:eastAsia="es-ES"/>
        </w:rPr>
        <w:t xml:space="preserve">Fuente: Matriz Ejecución Presupuestal </w:t>
      </w:r>
      <w:proofErr w:type="gramStart"/>
      <w:r w:rsidR="004D028B">
        <w:rPr>
          <w:rFonts w:ascii="Arial" w:eastAsia="Times New Roman" w:hAnsi="Arial" w:cs="Arial"/>
          <w:sz w:val="10"/>
          <w:szCs w:val="20"/>
          <w:lang w:eastAsia="es-ES"/>
        </w:rPr>
        <w:t>Junio</w:t>
      </w:r>
      <w:proofErr w:type="gramEnd"/>
      <w:r w:rsidR="004D028B">
        <w:rPr>
          <w:rFonts w:ascii="Arial" w:eastAsia="Times New Roman" w:hAnsi="Arial" w:cs="Arial"/>
          <w:sz w:val="10"/>
          <w:szCs w:val="20"/>
          <w:lang w:eastAsia="es-ES"/>
        </w:rPr>
        <w:t xml:space="preserve"> 2018 </w:t>
      </w:r>
      <w:r w:rsidR="004D028B" w:rsidRPr="004D028B">
        <w:rPr>
          <w:rFonts w:ascii="Arial" w:eastAsia="Times New Roman" w:hAnsi="Arial" w:cs="Arial"/>
          <w:sz w:val="10"/>
          <w:szCs w:val="20"/>
          <w:lang w:eastAsia="es-ES"/>
        </w:rPr>
        <w:t xml:space="preserve">TOTORO </w:t>
      </w:r>
    </w:p>
    <w:p w14:paraId="6C27F5F9" w14:textId="4AF6A729" w:rsidR="00B71FFF" w:rsidRPr="00B71FFF" w:rsidRDefault="00CB7B63" w:rsidP="002D505E">
      <w:pPr>
        <w:tabs>
          <w:tab w:val="left" w:pos="910"/>
        </w:tabs>
        <w:spacing w:after="0" w:line="259" w:lineRule="auto"/>
        <w:rPr>
          <w:rFonts w:ascii="Arial" w:eastAsia="Calibri" w:hAnsi="Arial" w:cs="Arial"/>
          <w:sz w:val="20"/>
          <w:szCs w:val="20"/>
          <w:lang w:val="es-CO" w:eastAsia="es-CO"/>
        </w:rPr>
      </w:pPr>
      <w:r>
        <w:rPr>
          <w:rFonts w:ascii="Arial" w:eastAsia="Times New Roman" w:hAnsi="Arial" w:cs="Arial"/>
          <w:sz w:val="10"/>
          <w:szCs w:val="20"/>
          <w:lang w:eastAsia="es-ES"/>
        </w:rPr>
        <w:t xml:space="preserve">                         </w:t>
      </w:r>
      <w:r w:rsidR="00B71FFF" w:rsidRPr="00B71FFF">
        <w:rPr>
          <w:rFonts w:ascii="Arial" w:eastAsia="MS Mincho" w:hAnsi="Arial" w:cs="Arial"/>
          <w:b/>
          <w:sz w:val="20"/>
          <w:szCs w:val="20"/>
          <w:lang w:eastAsia="es-ES"/>
        </w:rPr>
        <w:t xml:space="preserve">Cuentas por Pagar </w:t>
      </w:r>
    </w:p>
    <w:p w14:paraId="5414540E" w14:textId="77777777" w:rsidR="00B71FFF" w:rsidRPr="00B71FFF" w:rsidRDefault="00B71FFF" w:rsidP="00B71FFF">
      <w:pPr>
        <w:tabs>
          <w:tab w:val="left" w:pos="1875"/>
        </w:tabs>
        <w:spacing w:after="0"/>
        <w:jc w:val="both"/>
        <w:rPr>
          <w:rFonts w:ascii="Arial" w:eastAsia="Calibri" w:hAnsi="Arial" w:cs="Arial"/>
          <w:sz w:val="20"/>
          <w:szCs w:val="20"/>
          <w:lang w:val="es-CO" w:eastAsia="es-CO"/>
        </w:rPr>
      </w:pPr>
      <w:r w:rsidRPr="00B71FFF">
        <w:rPr>
          <w:rFonts w:ascii="Arial" w:eastAsia="Calibri" w:hAnsi="Arial" w:cs="Arial"/>
          <w:sz w:val="20"/>
          <w:szCs w:val="20"/>
          <w:lang w:val="es-CO" w:eastAsia="es-CO"/>
        </w:rPr>
        <w:tab/>
      </w:r>
    </w:p>
    <w:p w14:paraId="2AE98E01" w14:textId="77777777" w:rsidR="00B71FFF" w:rsidRPr="00B71FFF" w:rsidRDefault="00B71FFF" w:rsidP="00B71FFF">
      <w:pPr>
        <w:tabs>
          <w:tab w:val="left" w:pos="910"/>
        </w:tabs>
        <w:spacing w:after="0"/>
        <w:jc w:val="both"/>
        <w:rPr>
          <w:rFonts w:ascii="Arial" w:eastAsia="Calibri" w:hAnsi="Arial" w:cs="Arial"/>
          <w:sz w:val="20"/>
          <w:szCs w:val="20"/>
          <w:lang w:val="es-CO" w:eastAsia="es-CO"/>
        </w:rPr>
      </w:pPr>
      <w:r w:rsidRPr="00B71FFF">
        <w:rPr>
          <w:rFonts w:ascii="Arial" w:eastAsia="Calibri" w:hAnsi="Arial" w:cs="Arial"/>
          <w:sz w:val="20"/>
          <w:szCs w:val="20"/>
          <w:lang w:val="es-CO" w:eastAsia="es-CO"/>
        </w:rPr>
        <w:t>En lo referente a cuentas por pagar, a 30 de junio de 2018 se registran obligaciones por $369.760.618.194,19 de las cuales se han efectuado pagos por $369.747.649.194,19, quedando pendiente un rezago de doce millones novecientos sesenta y nueve mil pesos ($12</w:t>
      </w:r>
      <w:r w:rsidR="001109B8">
        <w:rPr>
          <w:rFonts w:ascii="Arial" w:eastAsia="Calibri" w:hAnsi="Arial" w:cs="Arial"/>
          <w:sz w:val="20"/>
          <w:szCs w:val="20"/>
          <w:lang w:val="es-CO" w:eastAsia="es-CO"/>
        </w:rPr>
        <w:t xml:space="preserve">.969.000), información que se </w:t>
      </w:r>
      <w:r w:rsidRPr="00B71FFF">
        <w:rPr>
          <w:rFonts w:ascii="Arial" w:eastAsia="Calibri" w:hAnsi="Arial" w:cs="Arial"/>
          <w:sz w:val="20"/>
          <w:szCs w:val="20"/>
          <w:lang w:val="es-CO" w:eastAsia="es-CO"/>
        </w:rPr>
        <w:t xml:space="preserve">valida en el cuadro que se muestra a continuación: </w:t>
      </w:r>
    </w:p>
    <w:p w14:paraId="6C7A4C47" w14:textId="77777777" w:rsidR="00B71FFF" w:rsidRPr="00B71FFF" w:rsidRDefault="00EA5C9B" w:rsidP="00B71FFF">
      <w:pPr>
        <w:tabs>
          <w:tab w:val="left" w:pos="1875"/>
        </w:tabs>
        <w:spacing w:after="0"/>
        <w:jc w:val="center"/>
        <w:rPr>
          <w:rFonts w:ascii="Arial" w:eastAsia="Calibri" w:hAnsi="Arial" w:cs="Arial"/>
          <w:b/>
          <w:sz w:val="20"/>
          <w:szCs w:val="20"/>
          <w:lang w:val="es-CO" w:eastAsia="es-CO"/>
        </w:rPr>
      </w:pPr>
      <w:r w:rsidRPr="00EA5C9B">
        <w:rPr>
          <w:noProof/>
          <w:lang w:eastAsia="es-ES"/>
        </w:rPr>
        <w:lastRenderedPageBreak/>
        <w:drawing>
          <wp:inline distT="0" distB="0" distL="0" distR="0" wp14:anchorId="7235F958" wp14:editId="4B1FD5B4">
            <wp:extent cx="5619750" cy="3650552"/>
            <wp:effectExtent l="0" t="0" r="0" b="7620"/>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692530" cy="3697829"/>
                    </a:xfrm>
                    <a:prstGeom prst="rect">
                      <a:avLst/>
                    </a:prstGeom>
                    <a:noFill/>
                    <a:ln>
                      <a:noFill/>
                    </a:ln>
                  </pic:spPr>
                </pic:pic>
              </a:graphicData>
            </a:graphic>
          </wp:inline>
        </w:drawing>
      </w:r>
    </w:p>
    <w:p w14:paraId="2ACD34AF" w14:textId="77777777" w:rsidR="004D028B" w:rsidRPr="004D028B" w:rsidRDefault="004D028B" w:rsidP="004D028B">
      <w:pPr>
        <w:tabs>
          <w:tab w:val="left" w:pos="910"/>
        </w:tabs>
        <w:spacing w:after="0" w:line="259" w:lineRule="auto"/>
        <w:rPr>
          <w:rFonts w:ascii="Arial" w:eastAsia="Times New Roman" w:hAnsi="Arial" w:cs="Arial"/>
          <w:sz w:val="10"/>
          <w:szCs w:val="20"/>
          <w:lang w:eastAsia="es-ES"/>
        </w:rPr>
      </w:pPr>
      <w:r>
        <w:rPr>
          <w:rFonts w:ascii="Arial" w:eastAsia="Times New Roman" w:hAnsi="Arial" w:cs="Arial"/>
          <w:sz w:val="10"/>
          <w:szCs w:val="20"/>
          <w:lang w:eastAsia="es-ES"/>
        </w:rPr>
        <w:t xml:space="preserve">                             </w:t>
      </w:r>
      <w:r w:rsidR="00EA5C9B">
        <w:rPr>
          <w:rFonts w:ascii="Arial" w:eastAsia="Times New Roman" w:hAnsi="Arial" w:cs="Arial"/>
          <w:sz w:val="10"/>
          <w:szCs w:val="20"/>
          <w:lang w:eastAsia="es-ES"/>
        </w:rPr>
        <w:t xml:space="preserve">     </w:t>
      </w:r>
      <w:r w:rsidRPr="004D028B">
        <w:rPr>
          <w:rFonts w:ascii="Arial" w:eastAsia="Times New Roman" w:hAnsi="Arial" w:cs="Arial"/>
          <w:sz w:val="10"/>
          <w:szCs w:val="20"/>
          <w:lang w:eastAsia="es-ES"/>
        </w:rPr>
        <w:t xml:space="preserve">Fuente: Matriz Ejecución Presupuestal </w:t>
      </w:r>
      <w:proofErr w:type="gramStart"/>
      <w:r>
        <w:rPr>
          <w:rFonts w:ascii="Arial" w:eastAsia="Times New Roman" w:hAnsi="Arial" w:cs="Arial"/>
          <w:sz w:val="10"/>
          <w:szCs w:val="20"/>
          <w:lang w:eastAsia="es-ES"/>
        </w:rPr>
        <w:t>Junio</w:t>
      </w:r>
      <w:proofErr w:type="gramEnd"/>
      <w:r>
        <w:rPr>
          <w:rFonts w:ascii="Arial" w:eastAsia="Times New Roman" w:hAnsi="Arial" w:cs="Arial"/>
          <w:sz w:val="10"/>
          <w:szCs w:val="20"/>
          <w:lang w:eastAsia="es-ES"/>
        </w:rPr>
        <w:t xml:space="preserve"> 2018 </w:t>
      </w:r>
      <w:r w:rsidRPr="004D028B">
        <w:rPr>
          <w:rFonts w:ascii="Arial" w:eastAsia="Times New Roman" w:hAnsi="Arial" w:cs="Arial"/>
          <w:sz w:val="10"/>
          <w:szCs w:val="20"/>
          <w:lang w:eastAsia="es-ES"/>
        </w:rPr>
        <w:t xml:space="preserve">TOTORO </w:t>
      </w:r>
    </w:p>
    <w:p w14:paraId="08FF90D7" w14:textId="77777777" w:rsidR="00CB7B63" w:rsidRDefault="00CB7B63" w:rsidP="00CB7B63">
      <w:pPr>
        <w:tabs>
          <w:tab w:val="left" w:pos="910"/>
        </w:tabs>
        <w:spacing w:after="0" w:line="259" w:lineRule="auto"/>
        <w:rPr>
          <w:rFonts w:ascii="Arial" w:eastAsia="Times New Roman" w:hAnsi="Arial" w:cs="Arial"/>
          <w:sz w:val="10"/>
          <w:szCs w:val="20"/>
          <w:lang w:eastAsia="es-ES"/>
        </w:rPr>
      </w:pPr>
      <w:r>
        <w:rPr>
          <w:rFonts w:ascii="Arial" w:eastAsia="Times New Roman" w:hAnsi="Arial" w:cs="Arial"/>
          <w:sz w:val="10"/>
          <w:szCs w:val="20"/>
          <w:lang w:eastAsia="es-ES"/>
        </w:rPr>
        <w:t xml:space="preserve">  </w:t>
      </w:r>
    </w:p>
    <w:p w14:paraId="475864F6" w14:textId="3A41CA6D" w:rsidR="00AC3CE8" w:rsidRPr="00AC3CE8" w:rsidRDefault="00AC3CE8" w:rsidP="00E376B9">
      <w:pPr>
        <w:tabs>
          <w:tab w:val="left" w:pos="910"/>
        </w:tabs>
        <w:spacing w:after="0" w:line="259" w:lineRule="auto"/>
        <w:jc w:val="both"/>
        <w:rPr>
          <w:rFonts w:ascii="Arial" w:eastAsia="Calibri" w:hAnsi="Arial" w:cs="Arial"/>
          <w:i/>
          <w:sz w:val="20"/>
          <w:szCs w:val="20"/>
          <w:lang w:val="es-CO" w:eastAsia="es-CO"/>
        </w:rPr>
      </w:pPr>
      <w:r w:rsidRPr="001109B8">
        <w:rPr>
          <w:rFonts w:ascii="Arial" w:eastAsia="Calibri" w:hAnsi="Arial" w:cs="Arial"/>
          <w:sz w:val="20"/>
          <w:szCs w:val="20"/>
          <w:lang w:val="es-CO" w:eastAsia="es-CO"/>
        </w:rPr>
        <w:t>Por lo anterior, una vez efectuada la verificación y el análisis de la información, se concluye lo siguiente tanto para el rubro de funcionamiento e inversión</w:t>
      </w:r>
      <w:r w:rsidRPr="00AC3CE8">
        <w:rPr>
          <w:rFonts w:ascii="Arial" w:eastAsia="Calibri" w:hAnsi="Arial" w:cs="Arial"/>
          <w:i/>
          <w:sz w:val="20"/>
          <w:szCs w:val="20"/>
          <w:lang w:val="es-CO" w:eastAsia="es-CO"/>
        </w:rPr>
        <w:t>:</w:t>
      </w:r>
    </w:p>
    <w:p w14:paraId="25261E2A" w14:textId="77777777" w:rsidR="00AC3CE8" w:rsidRPr="00AC3CE8" w:rsidRDefault="00AC3CE8" w:rsidP="00AC3CE8">
      <w:pPr>
        <w:tabs>
          <w:tab w:val="left" w:pos="1875"/>
        </w:tabs>
        <w:spacing w:after="0"/>
        <w:jc w:val="both"/>
        <w:rPr>
          <w:rFonts w:ascii="Arial" w:eastAsia="Calibri" w:hAnsi="Arial" w:cs="Arial"/>
          <w:sz w:val="20"/>
          <w:szCs w:val="20"/>
          <w:lang w:val="es-CO" w:eastAsia="es-CO"/>
        </w:rPr>
      </w:pPr>
    </w:p>
    <w:p w14:paraId="42600135" w14:textId="77777777" w:rsidR="00AC3CE8" w:rsidRPr="00AC3CE8" w:rsidRDefault="00AC3CE8" w:rsidP="00BF519D">
      <w:pPr>
        <w:numPr>
          <w:ilvl w:val="0"/>
          <w:numId w:val="8"/>
        </w:numPr>
        <w:spacing w:after="160" w:line="259" w:lineRule="auto"/>
        <w:contextualSpacing/>
        <w:jc w:val="both"/>
        <w:rPr>
          <w:rFonts w:ascii="Arial" w:eastAsia="Calibri" w:hAnsi="Arial" w:cs="Arial"/>
          <w:sz w:val="20"/>
          <w:szCs w:val="20"/>
          <w:lang w:val="es-CO" w:eastAsia="es-CO"/>
        </w:rPr>
      </w:pPr>
      <w:r w:rsidRPr="00AC3CE8">
        <w:rPr>
          <w:rFonts w:ascii="Arial" w:eastAsia="Calibri" w:hAnsi="Arial" w:cs="Arial"/>
          <w:sz w:val="20"/>
          <w:szCs w:val="20"/>
          <w:lang w:val="es-CO" w:eastAsia="es-CO"/>
        </w:rPr>
        <w:t>El presupuesto asignado a la Unidad para el rubro de funcionamiento en el año 2018 ascienda a la suma de $696.817.224.705, de los cuales se observa comprometido en el primer semestre de 2018 el 52,33% por un valor de $364.671.790.998,22. Así mismo se han obligado $342.932.144.605,21 y pagado $</w:t>
      </w:r>
      <w:r w:rsidRPr="00AC3CE8">
        <w:rPr>
          <w:rFonts w:eastAsia="Cambria"/>
          <w:sz w:val="20"/>
          <w:szCs w:val="20"/>
          <w:lang w:val="es-ES_tradnl"/>
        </w:rPr>
        <w:t xml:space="preserve"> </w:t>
      </w:r>
      <w:r w:rsidRPr="00AC3CE8">
        <w:rPr>
          <w:rFonts w:ascii="Arial" w:eastAsia="Calibri" w:hAnsi="Arial" w:cs="Arial"/>
          <w:sz w:val="20"/>
          <w:szCs w:val="20"/>
          <w:lang w:val="es-CO" w:eastAsia="es-CO"/>
        </w:rPr>
        <w:t>342.917.108.465,92, que corresponde al 49,21% con respecto a las apropiaciones vigentes. Razón por la cual, para el segundo semestre de 2018 están pendientes por comprometer el 47,67% que representa la suma de $332.145.433.706,78.</w:t>
      </w:r>
    </w:p>
    <w:p w14:paraId="781B20D2" w14:textId="77777777" w:rsidR="00AC3CE8" w:rsidRPr="00AC3CE8" w:rsidRDefault="00AC3CE8" w:rsidP="00AC3CE8">
      <w:pPr>
        <w:ind w:left="720"/>
        <w:contextualSpacing/>
        <w:jc w:val="both"/>
        <w:rPr>
          <w:rFonts w:ascii="Arial" w:eastAsia="Calibri" w:hAnsi="Arial" w:cs="Arial"/>
          <w:sz w:val="20"/>
          <w:szCs w:val="20"/>
          <w:lang w:val="es-CO" w:eastAsia="es-CO"/>
        </w:rPr>
      </w:pPr>
    </w:p>
    <w:p w14:paraId="43C71EEF" w14:textId="77777777" w:rsidR="00AC3CE8" w:rsidRPr="00AC3CE8" w:rsidRDefault="00AC3CE8" w:rsidP="00BF519D">
      <w:pPr>
        <w:numPr>
          <w:ilvl w:val="0"/>
          <w:numId w:val="8"/>
        </w:numPr>
        <w:tabs>
          <w:tab w:val="left" w:pos="1875"/>
        </w:tabs>
        <w:spacing w:after="0" w:line="259" w:lineRule="auto"/>
        <w:contextualSpacing/>
        <w:jc w:val="both"/>
        <w:rPr>
          <w:rFonts w:ascii="Arial" w:eastAsia="Calibri" w:hAnsi="Arial" w:cs="Arial"/>
          <w:sz w:val="20"/>
          <w:szCs w:val="20"/>
          <w:lang w:val="es-CO" w:eastAsia="es-CO"/>
        </w:rPr>
      </w:pPr>
      <w:r w:rsidRPr="00AC3CE8">
        <w:rPr>
          <w:rFonts w:ascii="Arial" w:eastAsia="Calibri" w:hAnsi="Arial" w:cs="Arial"/>
          <w:sz w:val="20"/>
          <w:szCs w:val="20"/>
          <w:lang w:val="es-CO" w:eastAsia="es-CO"/>
        </w:rPr>
        <w:t xml:space="preserve">A pesar de lo comprometido a 30 de junio de 2018, se observa que, de los rubros de funcionamiento, cuatro (4) registran avance superior al 50%, cinco (4) entre el 40% y 49%, y dos (2) con el 2,94% y 0,30% respectivamente. </w:t>
      </w:r>
    </w:p>
    <w:p w14:paraId="48FAA066" w14:textId="77777777" w:rsidR="00AC3CE8" w:rsidRPr="00AC3CE8" w:rsidRDefault="00AC3CE8" w:rsidP="00AC3CE8">
      <w:pPr>
        <w:ind w:left="720"/>
        <w:contextualSpacing/>
        <w:rPr>
          <w:rFonts w:ascii="Arial" w:eastAsia="Calibri" w:hAnsi="Arial" w:cs="Arial"/>
          <w:sz w:val="20"/>
          <w:szCs w:val="20"/>
          <w:lang w:val="es-CO" w:eastAsia="es-CO"/>
        </w:rPr>
      </w:pPr>
    </w:p>
    <w:p w14:paraId="51E84045" w14:textId="77777777" w:rsidR="00AC3CE8" w:rsidRPr="00AC3CE8" w:rsidRDefault="00AC3CE8" w:rsidP="00BF519D">
      <w:pPr>
        <w:numPr>
          <w:ilvl w:val="0"/>
          <w:numId w:val="8"/>
        </w:numPr>
        <w:spacing w:after="160" w:line="259" w:lineRule="auto"/>
        <w:contextualSpacing/>
        <w:jc w:val="both"/>
        <w:rPr>
          <w:rFonts w:ascii="Arial" w:eastAsia="Calibri" w:hAnsi="Arial" w:cs="Arial"/>
          <w:sz w:val="20"/>
          <w:szCs w:val="20"/>
          <w:lang w:val="es-CO" w:eastAsia="es-CO"/>
        </w:rPr>
      </w:pPr>
      <w:r w:rsidRPr="00AC3CE8">
        <w:rPr>
          <w:rFonts w:ascii="Arial" w:eastAsia="Calibri" w:hAnsi="Arial" w:cs="Arial"/>
          <w:sz w:val="20"/>
          <w:szCs w:val="20"/>
          <w:lang w:val="es-CO" w:eastAsia="es-CO"/>
        </w:rPr>
        <w:t xml:space="preserve">Entre lo comprometido y obligado existe una diferencia por $21.739.646.393,01, equivalente al 5,96%. Encontrando que tres (3) rubros los cuales son: Otros, Servicios personales indirectos y Adquisición de Bienes y Servicios, presentan los porcentajes más alto pendientes por obligar así: 47,40%, 61,74% y 46,48% respectivamente. </w:t>
      </w:r>
    </w:p>
    <w:p w14:paraId="6CCEA980" w14:textId="77777777" w:rsidR="00AC3CE8" w:rsidRPr="00AC3CE8" w:rsidRDefault="00AC3CE8" w:rsidP="00BF519D">
      <w:pPr>
        <w:numPr>
          <w:ilvl w:val="0"/>
          <w:numId w:val="8"/>
        </w:numPr>
        <w:spacing w:after="160" w:line="259" w:lineRule="auto"/>
        <w:contextualSpacing/>
        <w:jc w:val="both"/>
        <w:rPr>
          <w:rFonts w:ascii="Arial" w:eastAsia="Calibri" w:hAnsi="Arial" w:cs="Arial"/>
          <w:sz w:val="20"/>
          <w:szCs w:val="20"/>
          <w:lang w:val="es-CO" w:eastAsia="es-CO"/>
        </w:rPr>
      </w:pPr>
      <w:r w:rsidRPr="00AC3CE8">
        <w:rPr>
          <w:rFonts w:ascii="Arial" w:eastAsia="Calibri" w:hAnsi="Arial" w:cs="Arial"/>
          <w:sz w:val="20"/>
          <w:szCs w:val="20"/>
          <w:lang w:val="es-CO" w:eastAsia="es-CO"/>
        </w:rPr>
        <w:t>En lo referente a compromisos vs pagos, finalizado el primer semestre de 2018, se observa un avance del 94,03% frente a los compromisos establecidos. No obstante, se evidencia que, en seis (7) se ha efectuado pagos entre el 100% y 95% respecto de los compromisos. Asimismo, en dos (2) se han pagado entre el 53% y 52% respectivamente, y en uno (1) se ha pagado solo el 38,26% frente a los compromisos.</w:t>
      </w:r>
    </w:p>
    <w:p w14:paraId="50FF9CD0" w14:textId="77777777" w:rsidR="00AC3CE8" w:rsidRPr="00AC3CE8" w:rsidRDefault="00AC3CE8" w:rsidP="00BF519D">
      <w:pPr>
        <w:numPr>
          <w:ilvl w:val="0"/>
          <w:numId w:val="8"/>
        </w:numPr>
        <w:spacing w:after="160" w:line="259" w:lineRule="auto"/>
        <w:contextualSpacing/>
        <w:jc w:val="both"/>
        <w:rPr>
          <w:rFonts w:ascii="Arial" w:eastAsia="Calibri" w:hAnsi="Arial" w:cs="Arial"/>
          <w:sz w:val="20"/>
          <w:szCs w:val="20"/>
          <w:lang w:val="es-CO" w:eastAsia="es-CO"/>
        </w:rPr>
      </w:pPr>
      <w:r w:rsidRPr="00AC3CE8">
        <w:rPr>
          <w:rFonts w:ascii="Arial" w:eastAsia="Calibri" w:hAnsi="Arial" w:cs="Arial"/>
          <w:sz w:val="20"/>
          <w:szCs w:val="20"/>
          <w:lang w:val="es-CO" w:eastAsia="es-CO"/>
        </w:rPr>
        <w:lastRenderedPageBreak/>
        <w:t xml:space="preserve">Entre lo obligado y pagado existe un rezago por $15.036.139,28, que corresponde a los rubros de: Otros, Horas Extras, Días Festivos e Indemnización Por Vacaciones y Adquisición De Bienes y Servicios. </w:t>
      </w:r>
    </w:p>
    <w:p w14:paraId="792FC927" w14:textId="77777777" w:rsidR="00AC3CE8" w:rsidRPr="00AC3CE8" w:rsidRDefault="00AC3CE8" w:rsidP="00AC3CE8">
      <w:pPr>
        <w:ind w:left="720"/>
        <w:contextualSpacing/>
        <w:rPr>
          <w:rFonts w:ascii="Arial" w:eastAsia="Calibri" w:hAnsi="Arial" w:cs="Arial"/>
          <w:sz w:val="20"/>
          <w:szCs w:val="20"/>
          <w:lang w:val="es-CO" w:eastAsia="es-CO"/>
        </w:rPr>
      </w:pPr>
    </w:p>
    <w:p w14:paraId="3944C518" w14:textId="3B49B8E2" w:rsidR="00AC3CE8" w:rsidRPr="00AC3CE8" w:rsidRDefault="00AC3CE8" w:rsidP="00BF519D">
      <w:pPr>
        <w:numPr>
          <w:ilvl w:val="0"/>
          <w:numId w:val="8"/>
        </w:numPr>
        <w:spacing w:after="160" w:line="259" w:lineRule="auto"/>
        <w:contextualSpacing/>
        <w:jc w:val="both"/>
        <w:rPr>
          <w:rFonts w:ascii="Arial" w:eastAsia="Calibri" w:hAnsi="Arial" w:cs="Arial"/>
          <w:sz w:val="20"/>
          <w:szCs w:val="20"/>
          <w:lang w:val="es-CO" w:eastAsia="es-CO"/>
        </w:rPr>
      </w:pPr>
      <w:r w:rsidRPr="00AC3CE8">
        <w:rPr>
          <w:rFonts w:ascii="Arial" w:eastAsia="Calibri" w:hAnsi="Arial" w:cs="Arial"/>
          <w:sz w:val="20"/>
          <w:szCs w:val="20"/>
          <w:lang w:val="es-CO" w:eastAsia="es-CO"/>
        </w:rPr>
        <w:t xml:space="preserve">En lo que concierne a reserva presupuestal en el rubro de funcionamiento, se han obligado $663.444.691,26 y </w:t>
      </w:r>
      <w:r w:rsidR="00603402">
        <w:rPr>
          <w:rFonts w:ascii="Arial" w:eastAsia="Calibri" w:hAnsi="Arial" w:cs="Arial"/>
          <w:sz w:val="20"/>
          <w:szCs w:val="20"/>
          <w:lang w:val="es-CO" w:eastAsia="es-CO"/>
        </w:rPr>
        <w:t xml:space="preserve">pagado $663.301.177,26 respecto a </w:t>
      </w:r>
      <w:r w:rsidRPr="00AC3CE8">
        <w:rPr>
          <w:rFonts w:ascii="Arial" w:eastAsia="Calibri" w:hAnsi="Arial" w:cs="Arial"/>
          <w:sz w:val="20"/>
          <w:szCs w:val="20"/>
          <w:lang w:val="es-CO" w:eastAsia="es-CO"/>
        </w:rPr>
        <w:t xml:space="preserve">los compromisos (1.031.206.332,26), equivalentes al 64,34% y 64,32% respectivamente. Está pendientes por obligar y pagar el Fondo para la Reparación de las Victimas de acuerdo con lo comprometido el 37%, en lo relacionado a Adquisición de Bienes y Servicios está pendiente por obligar y pagar 4% y Servicios Personales Indirectos refleja una ejecución del 100%.  </w:t>
      </w:r>
    </w:p>
    <w:p w14:paraId="1E4A012A" w14:textId="77777777" w:rsidR="00AC3CE8" w:rsidRPr="00AC3CE8" w:rsidRDefault="00AC3CE8" w:rsidP="00AC3CE8">
      <w:pPr>
        <w:ind w:left="720"/>
        <w:contextualSpacing/>
        <w:rPr>
          <w:rFonts w:ascii="Arial" w:eastAsia="Calibri" w:hAnsi="Arial" w:cs="Arial"/>
          <w:sz w:val="20"/>
          <w:szCs w:val="20"/>
          <w:lang w:val="es-CO" w:eastAsia="es-CO"/>
        </w:rPr>
      </w:pPr>
    </w:p>
    <w:p w14:paraId="181B5AC3" w14:textId="77777777" w:rsidR="00AC3CE8" w:rsidRPr="00AC3CE8" w:rsidRDefault="00AC3CE8" w:rsidP="00AC3CE8">
      <w:pPr>
        <w:ind w:left="720"/>
        <w:contextualSpacing/>
        <w:jc w:val="both"/>
        <w:rPr>
          <w:rFonts w:ascii="Arial" w:eastAsia="Calibri" w:hAnsi="Arial" w:cs="Arial"/>
          <w:sz w:val="20"/>
          <w:szCs w:val="20"/>
          <w:lang w:val="es-CO" w:eastAsia="es-CO"/>
        </w:rPr>
      </w:pPr>
      <w:r w:rsidRPr="00AC3CE8">
        <w:rPr>
          <w:rFonts w:ascii="Arial" w:eastAsia="Calibri" w:hAnsi="Arial" w:cs="Arial"/>
          <w:sz w:val="20"/>
          <w:szCs w:val="20"/>
          <w:lang w:val="es-CO" w:eastAsia="es-CO"/>
        </w:rPr>
        <w:t>De igual forma se observa un rezago entre lo obligado y pago en el rubro del Fondo para la Reparación de la victimas por valor de $143.514.</w:t>
      </w:r>
    </w:p>
    <w:p w14:paraId="6C75AEA6" w14:textId="77777777" w:rsidR="00AC3CE8" w:rsidRPr="00AC3CE8" w:rsidRDefault="00AC3CE8" w:rsidP="00AC3CE8">
      <w:pPr>
        <w:ind w:left="720"/>
        <w:contextualSpacing/>
        <w:rPr>
          <w:rFonts w:ascii="Arial" w:eastAsia="Calibri" w:hAnsi="Arial" w:cs="Arial"/>
          <w:sz w:val="20"/>
          <w:szCs w:val="20"/>
          <w:lang w:val="es-CO" w:eastAsia="es-CO"/>
        </w:rPr>
      </w:pPr>
    </w:p>
    <w:p w14:paraId="79B9FEE7" w14:textId="77777777" w:rsidR="00AC3CE8" w:rsidRPr="00AC3CE8" w:rsidRDefault="00AC3CE8" w:rsidP="00BF519D">
      <w:pPr>
        <w:numPr>
          <w:ilvl w:val="0"/>
          <w:numId w:val="8"/>
        </w:numPr>
        <w:tabs>
          <w:tab w:val="left" w:pos="1875"/>
        </w:tabs>
        <w:spacing w:after="0" w:line="259" w:lineRule="auto"/>
        <w:contextualSpacing/>
        <w:jc w:val="both"/>
        <w:rPr>
          <w:rFonts w:ascii="Arial" w:eastAsia="Calibri" w:hAnsi="Arial" w:cs="Arial"/>
          <w:sz w:val="20"/>
          <w:szCs w:val="20"/>
          <w:lang w:val="es-CO" w:eastAsia="es-CO"/>
        </w:rPr>
      </w:pPr>
      <w:r w:rsidRPr="00AC3CE8">
        <w:rPr>
          <w:rFonts w:ascii="Arial" w:eastAsia="Calibri" w:hAnsi="Arial" w:cs="Arial"/>
          <w:sz w:val="20"/>
          <w:szCs w:val="20"/>
          <w:lang w:val="es-CO" w:eastAsia="es-CO"/>
        </w:rPr>
        <w:t>En lo referente a cuentas por pagar en el rubro de funcionamiento, se registran obligaciones por $14.998.381.418,85 de las cuales al primer semestre del 2018 se han efectuado los pagos del 100% de las mismas.</w:t>
      </w:r>
    </w:p>
    <w:p w14:paraId="6F74D3A2" w14:textId="77777777" w:rsidR="00AC3CE8" w:rsidRPr="00AC3CE8" w:rsidRDefault="00AC3CE8" w:rsidP="00AC3CE8">
      <w:pPr>
        <w:tabs>
          <w:tab w:val="left" w:pos="1875"/>
        </w:tabs>
        <w:spacing w:after="0" w:line="259" w:lineRule="auto"/>
        <w:jc w:val="both"/>
        <w:rPr>
          <w:rFonts w:ascii="Arial" w:eastAsia="Calibri" w:hAnsi="Arial" w:cs="Arial"/>
          <w:sz w:val="20"/>
          <w:szCs w:val="20"/>
          <w:lang w:val="es-CO" w:eastAsia="es-CO"/>
        </w:rPr>
      </w:pPr>
    </w:p>
    <w:p w14:paraId="6FE7E775" w14:textId="77777777" w:rsidR="00AC3CE8" w:rsidRPr="00AC3CE8" w:rsidRDefault="00AC3CE8" w:rsidP="00BF519D">
      <w:pPr>
        <w:numPr>
          <w:ilvl w:val="0"/>
          <w:numId w:val="8"/>
        </w:numPr>
        <w:tabs>
          <w:tab w:val="left" w:pos="1875"/>
        </w:tabs>
        <w:spacing w:after="0" w:line="259" w:lineRule="auto"/>
        <w:contextualSpacing/>
        <w:jc w:val="both"/>
        <w:rPr>
          <w:rFonts w:ascii="Arial" w:eastAsia="Calibri" w:hAnsi="Arial" w:cs="Arial"/>
          <w:sz w:val="20"/>
          <w:szCs w:val="20"/>
          <w:lang w:val="es-CO" w:eastAsia="es-CO"/>
        </w:rPr>
      </w:pPr>
      <w:r w:rsidRPr="00AC3CE8">
        <w:rPr>
          <w:rFonts w:ascii="Arial" w:eastAsia="Calibri" w:hAnsi="Arial" w:cs="Arial"/>
          <w:sz w:val="20"/>
          <w:szCs w:val="20"/>
          <w:lang w:val="es-CO" w:eastAsia="es-CO"/>
        </w:rPr>
        <w:t xml:space="preserve">El presupuesto asignado a la Unidad para los quince (15) proyectos de inversión aprobados en el año 2018 es de $1.193.788.967.516, de los cuales se observa un avance del 50,49% al primer semestre de 2018, por un valor de $602.750.551.742, 29. Así mismo, se han obligado $468.115.876.729,19 y pagado $468.115.426.344,19, que corresponden al 39,2%% con respecto a las apropiaciones vigentes. </w:t>
      </w:r>
    </w:p>
    <w:p w14:paraId="2EA76C37" w14:textId="77777777" w:rsidR="00AC3CE8" w:rsidRPr="00AC3CE8" w:rsidRDefault="00AC3CE8" w:rsidP="00AC3CE8">
      <w:pPr>
        <w:tabs>
          <w:tab w:val="left" w:pos="1875"/>
        </w:tabs>
        <w:spacing w:after="0"/>
        <w:ind w:left="720"/>
        <w:contextualSpacing/>
        <w:jc w:val="both"/>
        <w:rPr>
          <w:rFonts w:ascii="Arial" w:eastAsia="Calibri" w:hAnsi="Arial" w:cs="Arial"/>
          <w:sz w:val="20"/>
          <w:szCs w:val="20"/>
          <w:lang w:val="es-CO" w:eastAsia="es-CO"/>
        </w:rPr>
      </w:pPr>
      <w:r w:rsidRPr="00AC3CE8">
        <w:rPr>
          <w:rFonts w:ascii="Arial" w:eastAsia="Calibri" w:hAnsi="Arial" w:cs="Arial"/>
          <w:sz w:val="20"/>
          <w:szCs w:val="20"/>
          <w:lang w:val="es-CO" w:eastAsia="es-CO"/>
        </w:rPr>
        <w:t xml:space="preserve">Por consiguiente, para el segundo semestre de 2018 están pendientes por comprometer el 49,51% restante, representado en $591.038.415.773,71. </w:t>
      </w:r>
    </w:p>
    <w:p w14:paraId="67EF456E" w14:textId="77777777" w:rsidR="00AC3CE8" w:rsidRPr="00AC3CE8" w:rsidRDefault="00AC3CE8" w:rsidP="00AC3CE8">
      <w:pPr>
        <w:tabs>
          <w:tab w:val="left" w:pos="1875"/>
        </w:tabs>
        <w:spacing w:after="0"/>
        <w:ind w:left="720"/>
        <w:contextualSpacing/>
        <w:jc w:val="both"/>
        <w:rPr>
          <w:rFonts w:ascii="Arial" w:eastAsia="Calibri" w:hAnsi="Arial" w:cs="Arial"/>
          <w:sz w:val="20"/>
          <w:szCs w:val="20"/>
          <w:lang w:val="es-CO" w:eastAsia="es-CO"/>
        </w:rPr>
      </w:pPr>
    </w:p>
    <w:p w14:paraId="614789CA" w14:textId="77777777" w:rsidR="00AC3CE8" w:rsidRPr="00AC3CE8" w:rsidRDefault="00AC3CE8" w:rsidP="00BF519D">
      <w:pPr>
        <w:numPr>
          <w:ilvl w:val="0"/>
          <w:numId w:val="8"/>
        </w:numPr>
        <w:tabs>
          <w:tab w:val="left" w:pos="1875"/>
        </w:tabs>
        <w:spacing w:after="0" w:line="259" w:lineRule="auto"/>
        <w:contextualSpacing/>
        <w:jc w:val="both"/>
        <w:rPr>
          <w:rFonts w:ascii="Arial" w:eastAsia="Calibri" w:hAnsi="Arial" w:cs="Arial"/>
          <w:sz w:val="20"/>
          <w:szCs w:val="20"/>
          <w:lang w:val="es-CO" w:eastAsia="es-CO"/>
        </w:rPr>
      </w:pPr>
      <w:r w:rsidRPr="00AC3CE8">
        <w:rPr>
          <w:rFonts w:ascii="Arial" w:eastAsia="Calibri" w:hAnsi="Arial" w:cs="Arial"/>
          <w:sz w:val="20"/>
          <w:szCs w:val="20"/>
          <w:lang w:val="es-CO" w:eastAsia="es-CO"/>
        </w:rPr>
        <w:t xml:space="preserve">A pesar de lo comprometido a 30 de junio de 2018, de los 15 proyectos de inversión, tres (3) registran avance inferior al 45% y dos (2) con el 26% y 15% respectivamente. Una situación similar presenta las obligaciones y pagos, en las cuales once (11) de los quince (15) proyectos de inversión, muestran avances menores al 35% y tres (3) entre el 45% y 48%. </w:t>
      </w:r>
    </w:p>
    <w:p w14:paraId="107DFBC1" w14:textId="77777777" w:rsidR="00AC3CE8" w:rsidRPr="00AC3CE8" w:rsidRDefault="00AC3CE8" w:rsidP="00AC3CE8">
      <w:pPr>
        <w:tabs>
          <w:tab w:val="left" w:pos="1875"/>
        </w:tabs>
        <w:spacing w:after="0"/>
        <w:jc w:val="both"/>
        <w:rPr>
          <w:rFonts w:ascii="Arial" w:eastAsia="Calibri" w:hAnsi="Arial" w:cs="Arial"/>
          <w:sz w:val="20"/>
          <w:szCs w:val="20"/>
          <w:lang w:val="es-CO" w:eastAsia="es-CO"/>
        </w:rPr>
      </w:pPr>
    </w:p>
    <w:p w14:paraId="4C2FC7C5" w14:textId="77777777" w:rsidR="00AC3CE8" w:rsidRPr="00AC3CE8" w:rsidRDefault="00AC3CE8" w:rsidP="00BF519D">
      <w:pPr>
        <w:numPr>
          <w:ilvl w:val="0"/>
          <w:numId w:val="8"/>
        </w:numPr>
        <w:tabs>
          <w:tab w:val="left" w:pos="1875"/>
        </w:tabs>
        <w:spacing w:after="0" w:line="259" w:lineRule="auto"/>
        <w:contextualSpacing/>
        <w:jc w:val="both"/>
        <w:rPr>
          <w:rFonts w:ascii="Arial" w:eastAsia="Calibri" w:hAnsi="Arial" w:cs="Arial"/>
          <w:sz w:val="20"/>
          <w:szCs w:val="20"/>
          <w:lang w:val="es-CO" w:eastAsia="es-CO"/>
        </w:rPr>
      </w:pPr>
      <w:r w:rsidRPr="00AC3CE8">
        <w:rPr>
          <w:rFonts w:ascii="Arial" w:eastAsia="Calibri" w:hAnsi="Arial" w:cs="Arial"/>
          <w:sz w:val="20"/>
          <w:szCs w:val="20"/>
          <w:lang w:val="es-CO" w:eastAsia="es-CO"/>
        </w:rPr>
        <w:t xml:space="preserve">Entre lo comprometido y obligado existe una diferencia por $134.634.675.013,10, equivalente al 22.3%. De igual manera, de los 15 proyectos de inversión, seis (6) tienen pendientes por obligar entre el 68% y 88%. </w:t>
      </w:r>
    </w:p>
    <w:p w14:paraId="600FB44B" w14:textId="77777777" w:rsidR="00AC3CE8" w:rsidRPr="00AC3CE8" w:rsidRDefault="00AC3CE8" w:rsidP="00AC3CE8">
      <w:pPr>
        <w:tabs>
          <w:tab w:val="left" w:pos="1875"/>
        </w:tabs>
        <w:spacing w:after="0"/>
        <w:jc w:val="both"/>
        <w:rPr>
          <w:rFonts w:ascii="Arial" w:eastAsia="Calibri" w:hAnsi="Arial" w:cs="Arial"/>
          <w:sz w:val="20"/>
          <w:szCs w:val="20"/>
          <w:lang w:val="es-CO" w:eastAsia="es-CO"/>
        </w:rPr>
      </w:pPr>
    </w:p>
    <w:p w14:paraId="55849862" w14:textId="77777777" w:rsidR="00AC3CE8" w:rsidRPr="00AC3CE8" w:rsidRDefault="00AC3CE8" w:rsidP="00BF519D">
      <w:pPr>
        <w:numPr>
          <w:ilvl w:val="0"/>
          <w:numId w:val="8"/>
        </w:numPr>
        <w:tabs>
          <w:tab w:val="left" w:pos="1875"/>
        </w:tabs>
        <w:spacing w:after="0" w:line="259" w:lineRule="auto"/>
        <w:contextualSpacing/>
        <w:jc w:val="both"/>
        <w:rPr>
          <w:rFonts w:ascii="Arial" w:eastAsia="Calibri" w:hAnsi="Arial" w:cs="Arial"/>
          <w:sz w:val="20"/>
          <w:szCs w:val="20"/>
          <w:lang w:val="es-CO" w:eastAsia="es-CO"/>
        </w:rPr>
      </w:pPr>
      <w:r w:rsidRPr="00AC3CE8">
        <w:rPr>
          <w:rFonts w:ascii="Arial" w:eastAsia="Calibri" w:hAnsi="Arial" w:cs="Arial"/>
          <w:sz w:val="20"/>
          <w:szCs w:val="20"/>
          <w:lang w:val="es-CO" w:eastAsia="es-CO"/>
        </w:rPr>
        <w:t>En lo referente a compromisos vs pagos, finalizado el primer semestre de 2018, se observa un avance del 77.66% frente a los compromisos establecidos. No obstante, se evidencia que de los quince (15) proyectos de inversión, en uno (1) se ha efectuado el pago total (100%) de lo comprometido y en otro el 95%. Asimismo, en dos (2) se han pagado el 82% y 71% respectivamente, entre tanto que en los once (11) restantes, el pago que se ha realizado no supera el 60%.</w:t>
      </w:r>
    </w:p>
    <w:p w14:paraId="5AD6BA19" w14:textId="77777777" w:rsidR="00AC3CE8" w:rsidRPr="00AC3CE8" w:rsidRDefault="00AC3CE8" w:rsidP="00AC3CE8">
      <w:pPr>
        <w:tabs>
          <w:tab w:val="left" w:pos="1875"/>
        </w:tabs>
        <w:spacing w:after="0"/>
        <w:jc w:val="both"/>
        <w:rPr>
          <w:rFonts w:ascii="Arial" w:eastAsia="Calibri" w:hAnsi="Arial" w:cs="Arial"/>
          <w:sz w:val="20"/>
          <w:szCs w:val="20"/>
          <w:lang w:val="es-CO" w:eastAsia="es-CO"/>
        </w:rPr>
      </w:pPr>
    </w:p>
    <w:p w14:paraId="7AAE2A65" w14:textId="77777777" w:rsidR="00AC3CE8" w:rsidRPr="00AC3CE8" w:rsidRDefault="00AC3CE8" w:rsidP="00BF519D">
      <w:pPr>
        <w:numPr>
          <w:ilvl w:val="0"/>
          <w:numId w:val="8"/>
        </w:numPr>
        <w:tabs>
          <w:tab w:val="left" w:pos="1875"/>
        </w:tabs>
        <w:spacing w:after="0" w:line="259" w:lineRule="auto"/>
        <w:contextualSpacing/>
        <w:jc w:val="both"/>
        <w:rPr>
          <w:rFonts w:ascii="Arial" w:eastAsia="Calibri" w:hAnsi="Arial" w:cs="Arial"/>
          <w:sz w:val="20"/>
          <w:szCs w:val="20"/>
          <w:lang w:val="es-CO" w:eastAsia="es-CO"/>
        </w:rPr>
      </w:pPr>
      <w:r w:rsidRPr="00AC3CE8">
        <w:rPr>
          <w:rFonts w:ascii="Arial" w:eastAsia="Calibri" w:hAnsi="Arial" w:cs="Arial"/>
          <w:sz w:val="20"/>
          <w:szCs w:val="20"/>
          <w:lang w:val="es-CO" w:eastAsia="es-CO"/>
        </w:rPr>
        <w:t xml:space="preserve">En cuanto al avance que registran las obligaciones y pagos efectuados respecto a la apropiación vigente, de los 15 proyectos de inversión: </w:t>
      </w:r>
    </w:p>
    <w:p w14:paraId="069D5251" w14:textId="77777777" w:rsidR="00AC3CE8" w:rsidRPr="00AC3CE8" w:rsidRDefault="00AC3CE8" w:rsidP="00AC3CE8">
      <w:pPr>
        <w:tabs>
          <w:tab w:val="left" w:pos="1875"/>
        </w:tabs>
        <w:spacing w:after="0" w:line="259" w:lineRule="auto"/>
        <w:jc w:val="both"/>
        <w:rPr>
          <w:rFonts w:ascii="Arial" w:eastAsia="Calibri" w:hAnsi="Arial" w:cs="Arial"/>
          <w:sz w:val="20"/>
          <w:szCs w:val="20"/>
          <w:lang w:val="es-CO" w:eastAsia="es-CO"/>
        </w:rPr>
      </w:pPr>
    </w:p>
    <w:p w14:paraId="5C6B9702" w14:textId="77777777" w:rsidR="00AC3CE8" w:rsidRPr="00AC3CE8" w:rsidRDefault="00AC3CE8" w:rsidP="00AC3CE8">
      <w:pPr>
        <w:tabs>
          <w:tab w:val="left" w:pos="1875"/>
        </w:tabs>
        <w:spacing w:after="0" w:line="259" w:lineRule="auto"/>
        <w:ind w:left="709"/>
        <w:jc w:val="both"/>
        <w:rPr>
          <w:rFonts w:ascii="Arial" w:eastAsia="Calibri" w:hAnsi="Arial" w:cs="Arial"/>
          <w:sz w:val="20"/>
          <w:szCs w:val="20"/>
          <w:lang w:val="es-CO" w:eastAsia="es-CO"/>
        </w:rPr>
      </w:pPr>
      <w:r w:rsidRPr="00AC3CE8">
        <w:rPr>
          <w:rFonts w:ascii="Arial" w:eastAsia="Calibri" w:hAnsi="Arial" w:cs="Arial"/>
          <w:sz w:val="20"/>
          <w:szCs w:val="20"/>
          <w:lang w:val="es-CO" w:eastAsia="es-CO"/>
        </w:rPr>
        <w:t>Uno (1) presenta ejecución del 100%.</w:t>
      </w:r>
    </w:p>
    <w:p w14:paraId="268D20AA" w14:textId="77777777" w:rsidR="00AC3CE8" w:rsidRPr="00AC3CE8" w:rsidRDefault="00AC3CE8" w:rsidP="00AC3CE8">
      <w:pPr>
        <w:tabs>
          <w:tab w:val="left" w:pos="1875"/>
        </w:tabs>
        <w:spacing w:after="0"/>
        <w:ind w:left="709"/>
        <w:jc w:val="both"/>
        <w:rPr>
          <w:rFonts w:ascii="Arial" w:eastAsia="Calibri" w:hAnsi="Arial" w:cs="Arial"/>
          <w:sz w:val="20"/>
          <w:szCs w:val="20"/>
          <w:lang w:val="es-CO" w:eastAsia="es-CO"/>
        </w:rPr>
      </w:pPr>
      <w:r w:rsidRPr="00AC3CE8">
        <w:rPr>
          <w:rFonts w:ascii="Arial" w:eastAsia="Calibri" w:hAnsi="Arial" w:cs="Arial"/>
          <w:sz w:val="20"/>
          <w:szCs w:val="20"/>
          <w:lang w:val="es-CO" w:eastAsia="es-CO"/>
        </w:rPr>
        <w:t>Tres (3) avances entre el 45% y 48%.</w:t>
      </w:r>
    </w:p>
    <w:p w14:paraId="0F2AD3AE" w14:textId="77777777" w:rsidR="00AC3CE8" w:rsidRPr="00AC3CE8" w:rsidRDefault="00AC3CE8" w:rsidP="00AC3CE8">
      <w:pPr>
        <w:tabs>
          <w:tab w:val="left" w:pos="1875"/>
        </w:tabs>
        <w:spacing w:after="0"/>
        <w:ind w:left="709"/>
        <w:jc w:val="both"/>
        <w:rPr>
          <w:rFonts w:ascii="Arial" w:eastAsia="Calibri" w:hAnsi="Arial" w:cs="Arial"/>
          <w:sz w:val="20"/>
          <w:szCs w:val="20"/>
          <w:lang w:val="es-CO" w:eastAsia="es-CO"/>
        </w:rPr>
      </w:pPr>
      <w:r w:rsidRPr="00AC3CE8">
        <w:rPr>
          <w:rFonts w:ascii="Arial" w:eastAsia="Calibri" w:hAnsi="Arial" w:cs="Arial"/>
          <w:sz w:val="20"/>
          <w:szCs w:val="20"/>
          <w:lang w:val="es-CO" w:eastAsia="es-CO"/>
        </w:rPr>
        <w:t>Uno (1) avance del 34,6%.</w:t>
      </w:r>
    </w:p>
    <w:p w14:paraId="79077D58" w14:textId="77777777" w:rsidR="00AC3CE8" w:rsidRPr="00AC3CE8" w:rsidRDefault="00AC3CE8" w:rsidP="00AC3CE8">
      <w:pPr>
        <w:tabs>
          <w:tab w:val="left" w:pos="1875"/>
        </w:tabs>
        <w:spacing w:after="0"/>
        <w:ind w:left="709"/>
        <w:jc w:val="both"/>
        <w:rPr>
          <w:rFonts w:ascii="Arial" w:eastAsia="Calibri" w:hAnsi="Arial" w:cs="Arial"/>
          <w:sz w:val="20"/>
          <w:szCs w:val="20"/>
          <w:lang w:val="es-CO" w:eastAsia="es-CO"/>
        </w:rPr>
      </w:pPr>
      <w:r w:rsidRPr="00AC3CE8">
        <w:rPr>
          <w:rFonts w:ascii="Arial" w:eastAsia="Calibri" w:hAnsi="Arial" w:cs="Arial"/>
          <w:sz w:val="20"/>
          <w:szCs w:val="20"/>
          <w:lang w:val="es-CO" w:eastAsia="es-CO"/>
        </w:rPr>
        <w:t>Tres (3) avances del 29,5%.</w:t>
      </w:r>
    </w:p>
    <w:p w14:paraId="2F608F95" w14:textId="77777777" w:rsidR="00AC3CE8" w:rsidRPr="00AC3CE8" w:rsidRDefault="00AC3CE8" w:rsidP="00AC3CE8">
      <w:pPr>
        <w:tabs>
          <w:tab w:val="left" w:pos="1875"/>
        </w:tabs>
        <w:spacing w:after="0"/>
        <w:ind w:left="709"/>
        <w:jc w:val="both"/>
        <w:rPr>
          <w:rFonts w:ascii="Arial" w:eastAsia="Calibri" w:hAnsi="Arial" w:cs="Arial"/>
          <w:sz w:val="20"/>
          <w:szCs w:val="20"/>
          <w:lang w:val="es-CO" w:eastAsia="es-CO"/>
        </w:rPr>
      </w:pPr>
      <w:r w:rsidRPr="00AC3CE8">
        <w:rPr>
          <w:rFonts w:ascii="Arial" w:eastAsia="Calibri" w:hAnsi="Arial" w:cs="Arial"/>
          <w:sz w:val="20"/>
          <w:szCs w:val="20"/>
          <w:lang w:val="es-CO" w:eastAsia="es-CO"/>
        </w:rPr>
        <w:t>Dos (2) avances entre el 17% y 18%.</w:t>
      </w:r>
    </w:p>
    <w:p w14:paraId="26710F49" w14:textId="77777777" w:rsidR="00AC3CE8" w:rsidRPr="00AC3CE8" w:rsidRDefault="00AC3CE8" w:rsidP="00AC3CE8">
      <w:pPr>
        <w:tabs>
          <w:tab w:val="left" w:pos="1875"/>
        </w:tabs>
        <w:spacing w:after="0"/>
        <w:ind w:left="709"/>
        <w:jc w:val="both"/>
        <w:rPr>
          <w:rFonts w:ascii="Arial" w:eastAsia="Calibri" w:hAnsi="Arial" w:cs="Arial"/>
          <w:sz w:val="20"/>
          <w:szCs w:val="20"/>
          <w:lang w:val="es-CO" w:eastAsia="es-CO"/>
        </w:rPr>
      </w:pPr>
      <w:r w:rsidRPr="00AC3CE8">
        <w:rPr>
          <w:rFonts w:ascii="Arial" w:eastAsia="Calibri" w:hAnsi="Arial" w:cs="Arial"/>
          <w:sz w:val="20"/>
          <w:szCs w:val="20"/>
          <w:lang w:val="es-CO" w:eastAsia="es-CO"/>
        </w:rPr>
        <w:lastRenderedPageBreak/>
        <w:t>Tres (3) avances entre 10% y 12%</w:t>
      </w:r>
    </w:p>
    <w:p w14:paraId="5A643A49" w14:textId="77777777" w:rsidR="00AC3CE8" w:rsidRPr="00AC3CE8" w:rsidRDefault="00AC3CE8" w:rsidP="00AC3CE8">
      <w:pPr>
        <w:tabs>
          <w:tab w:val="left" w:pos="1875"/>
        </w:tabs>
        <w:spacing w:after="0"/>
        <w:ind w:left="709"/>
        <w:jc w:val="both"/>
        <w:rPr>
          <w:rFonts w:ascii="Arial" w:eastAsia="Calibri" w:hAnsi="Arial" w:cs="Arial"/>
          <w:sz w:val="20"/>
          <w:szCs w:val="20"/>
          <w:lang w:val="es-CO" w:eastAsia="es-CO"/>
        </w:rPr>
      </w:pPr>
      <w:r w:rsidRPr="00AC3CE8">
        <w:rPr>
          <w:rFonts w:ascii="Arial" w:eastAsia="Calibri" w:hAnsi="Arial" w:cs="Arial"/>
          <w:sz w:val="20"/>
          <w:szCs w:val="20"/>
          <w:lang w:val="es-CO" w:eastAsia="es-CO"/>
        </w:rPr>
        <w:t>Uno (1) avance del 9,2%</w:t>
      </w:r>
    </w:p>
    <w:p w14:paraId="521CE965" w14:textId="77777777" w:rsidR="00AC3CE8" w:rsidRPr="00AC3CE8" w:rsidRDefault="00AC3CE8" w:rsidP="00AC3CE8">
      <w:pPr>
        <w:tabs>
          <w:tab w:val="left" w:pos="1875"/>
        </w:tabs>
        <w:spacing w:after="0"/>
        <w:ind w:left="709"/>
        <w:jc w:val="both"/>
        <w:rPr>
          <w:rFonts w:ascii="Arial" w:eastAsia="Calibri" w:hAnsi="Arial" w:cs="Arial"/>
          <w:sz w:val="20"/>
          <w:szCs w:val="20"/>
          <w:lang w:val="es-CO" w:eastAsia="es-CO"/>
        </w:rPr>
      </w:pPr>
      <w:r w:rsidRPr="00AC3CE8">
        <w:rPr>
          <w:rFonts w:ascii="Arial" w:eastAsia="Calibri" w:hAnsi="Arial" w:cs="Arial"/>
          <w:sz w:val="20"/>
          <w:szCs w:val="20"/>
          <w:lang w:val="es-CO" w:eastAsia="es-CO"/>
        </w:rPr>
        <w:t>Uno (1) avance del 4,4%</w:t>
      </w:r>
    </w:p>
    <w:p w14:paraId="3A32B097" w14:textId="77777777" w:rsidR="00AC3CE8" w:rsidRPr="00AC3CE8" w:rsidRDefault="00AC3CE8" w:rsidP="00AC3CE8">
      <w:pPr>
        <w:tabs>
          <w:tab w:val="left" w:pos="1875"/>
        </w:tabs>
        <w:spacing w:after="0"/>
        <w:ind w:left="709"/>
        <w:jc w:val="both"/>
        <w:rPr>
          <w:rFonts w:ascii="Arial" w:eastAsia="Calibri" w:hAnsi="Arial" w:cs="Arial"/>
          <w:sz w:val="20"/>
          <w:szCs w:val="20"/>
          <w:lang w:val="es-CO" w:eastAsia="es-CO"/>
        </w:rPr>
      </w:pPr>
    </w:p>
    <w:p w14:paraId="45AD7615" w14:textId="77777777" w:rsidR="00AC3CE8" w:rsidRPr="00AC3CE8" w:rsidRDefault="00AC3CE8" w:rsidP="00E376B9">
      <w:pPr>
        <w:tabs>
          <w:tab w:val="left" w:pos="1875"/>
        </w:tabs>
        <w:spacing w:after="0"/>
        <w:ind w:left="709"/>
        <w:jc w:val="both"/>
        <w:rPr>
          <w:rFonts w:ascii="Arial" w:eastAsia="Calibri" w:hAnsi="Arial" w:cs="Arial"/>
          <w:sz w:val="20"/>
          <w:szCs w:val="20"/>
          <w:lang w:val="es-CO" w:eastAsia="es-CO"/>
        </w:rPr>
      </w:pPr>
      <w:r w:rsidRPr="00AC3CE8">
        <w:rPr>
          <w:rFonts w:ascii="Arial" w:eastAsia="Calibri" w:hAnsi="Arial" w:cs="Arial"/>
          <w:sz w:val="20"/>
          <w:szCs w:val="20"/>
          <w:lang w:val="es-CO" w:eastAsia="es-CO"/>
        </w:rPr>
        <w:t>Los proyectos de inversión que a 30 de junio de 2018 presentan mayor valor por comprometer, son:</w:t>
      </w:r>
    </w:p>
    <w:p w14:paraId="2A97ECAE" w14:textId="77777777" w:rsidR="00AC3CE8" w:rsidRPr="00AC3CE8" w:rsidRDefault="00AC3CE8" w:rsidP="00AC3CE8">
      <w:pPr>
        <w:tabs>
          <w:tab w:val="left" w:pos="1875"/>
        </w:tabs>
        <w:spacing w:after="0"/>
        <w:jc w:val="both"/>
        <w:rPr>
          <w:rFonts w:ascii="Arial" w:eastAsia="Calibri" w:hAnsi="Arial" w:cs="Arial"/>
          <w:sz w:val="20"/>
          <w:szCs w:val="20"/>
          <w:lang w:val="es-CO" w:eastAsia="es-CO"/>
        </w:rPr>
      </w:pPr>
    </w:p>
    <w:p w14:paraId="215F9C04" w14:textId="77777777" w:rsidR="00AC3CE8" w:rsidRPr="00EE6AFF" w:rsidRDefault="00AC3CE8" w:rsidP="00EE6AFF">
      <w:pPr>
        <w:pStyle w:val="Prrafodelista"/>
        <w:numPr>
          <w:ilvl w:val="0"/>
          <w:numId w:val="28"/>
        </w:numPr>
        <w:tabs>
          <w:tab w:val="left" w:pos="1875"/>
        </w:tabs>
        <w:spacing w:after="0" w:line="259" w:lineRule="auto"/>
        <w:jc w:val="both"/>
        <w:rPr>
          <w:rFonts w:ascii="Arial" w:eastAsia="Calibri" w:hAnsi="Arial" w:cs="Arial"/>
          <w:sz w:val="20"/>
          <w:szCs w:val="20"/>
          <w:lang w:val="es-CO" w:eastAsia="es-CO"/>
        </w:rPr>
      </w:pPr>
      <w:r w:rsidRPr="00EE6AFF">
        <w:rPr>
          <w:rFonts w:ascii="Arial" w:eastAsia="Calibri" w:hAnsi="Arial" w:cs="Arial"/>
          <w:sz w:val="20"/>
          <w:szCs w:val="20"/>
          <w:lang w:val="es-CO" w:eastAsia="es-CO"/>
        </w:rPr>
        <w:t>Implementación de medidas de prevención y asistencia para víctimas del conflicto armado nacional $318.607.690.280,94, equivalente al 50,15%.</w:t>
      </w:r>
    </w:p>
    <w:p w14:paraId="6BF0FFE5" w14:textId="77777777" w:rsidR="00AC3CE8" w:rsidRPr="00EE6AFF" w:rsidRDefault="00AC3CE8" w:rsidP="00EE6AFF">
      <w:pPr>
        <w:pStyle w:val="Prrafodelista"/>
        <w:numPr>
          <w:ilvl w:val="0"/>
          <w:numId w:val="28"/>
        </w:numPr>
        <w:tabs>
          <w:tab w:val="left" w:pos="1875"/>
        </w:tabs>
        <w:spacing w:after="0" w:line="259" w:lineRule="auto"/>
        <w:jc w:val="both"/>
        <w:rPr>
          <w:rFonts w:ascii="Arial" w:eastAsia="Calibri" w:hAnsi="Arial" w:cs="Arial"/>
          <w:sz w:val="20"/>
          <w:szCs w:val="20"/>
          <w:lang w:val="es-CO" w:eastAsia="es-CO"/>
        </w:rPr>
      </w:pPr>
      <w:r w:rsidRPr="00EE6AFF">
        <w:rPr>
          <w:rFonts w:ascii="Arial" w:eastAsia="Calibri" w:hAnsi="Arial" w:cs="Arial"/>
          <w:sz w:val="20"/>
          <w:szCs w:val="20"/>
          <w:lang w:val="es-CO" w:eastAsia="es-CO"/>
        </w:rPr>
        <w:t>Mejoramiento de los canales de atención y comunicación para las víctimas para facilitar su acceso a la oferta institucional $91.176.754.445,17, equivalente al 58,80%.</w:t>
      </w:r>
    </w:p>
    <w:p w14:paraId="1795E81C" w14:textId="77777777" w:rsidR="00AC3CE8" w:rsidRPr="00EE6AFF" w:rsidRDefault="00AC3CE8" w:rsidP="00EE6AFF">
      <w:pPr>
        <w:pStyle w:val="Prrafodelista"/>
        <w:numPr>
          <w:ilvl w:val="0"/>
          <w:numId w:val="28"/>
        </w:numPr>
        <w:tabs>
          <w:tab w:val="left" w:pos="1875"/>
        </w:tabs>
        <w:spacing w:after="0" w:line="259" w:lineRule="auto"/>
        <w:jc w:val="both"/>
        <w:rPr>
          <w:rFonts w:ascii="Arial" w:eastAsia="Calibri" w:hAnsi="Arial" w:cs="Arial"/>
          <w:sz w:val="20"/>
          <w:szCs w:val="20"/>
          <w:lang w:val="es-CO" w:eastAsia="es-CO"/>
        </w:rPr>
      </w:pPr>
      <w:r w:rsidRPr="00EE6AFF">
        <w:rPr>
          <w:rFonts w:ascii="Arial" w:eastAsia="Calibri" w:hAnsi="Arial" w:cs="Arial"/>
          <w:sz w:val="20"/>
          <w:szCs w:val="20"/>
          <w:lang w:val="es-CO" w:eastAsia="es-CO"/>
        </w:rPr>
        <w:t>Implementación de las medidas de reparación individual y colectiva nacional $72.033.584.387,54, equivalente al 44,72%.</w:t>
      </w:r>
    </w:p>
    <w:p w14:paraId="6CF62DA5" w14:textId="77777777" w:rsidR="00AC3CE8" w:rsidRPr="00EE6AFF" w:rsidRDefault="00AC3CE8" w:rsidP="00EE6AFF">
      <w:pPr>
        <w:pStyle w:val="Prrafodelista"/>
        <w:numPr>
          <w:ilvl w:val="0"/>
          <w:numId w:val="28"/>
        </w:numPr>
        <w:tabs>
          <w:tab w:val="left" w:pos="1875"/>
        </w:tabs>
        <w:spacing w:after="0" w:line="259" w:lineRule="auto"/>
        <w:jc w:val="both"/>
        <w:rPr>
          <w:rFonts w:ascii="Arial" w:eastAsia="Calibri" w:hAnsi="Arial" w:cs="Arial"/>
          <w:sz w:val="20"/>
          <w:szCs w:val="20"/>
          <w:lang w:val="es-CO" w:eastAsia="es-CO"/>
        </w:rPr>
      </w:pPr>
      <w:r w:rsidRPr="00EE6AFF">
        <w:rPr>
          <w:rFonts w:ascii="Arial" w:eastAsia="Calibri" w:hAnsi="Arial" w:cs="Arial"/>
          <w:sz w:val="20"/>
          <w:szCs w:val="20"/>
          <w:lang w:val="es-CO" w:eastAsia="es-CO"/>
        </w:rPr>
        <w:t>Conservación, organización, digitalización e indexación de los documentos de las víctimas del conflicto armado a nivel nacional $26.217.890.788,46, equivalente al 48,64%.</w:t>
      </w:r>
    </w:p>
    <w:p w14:paraId="3B420AFA" w14:textId="77777777" w:rsidR="00AC3CE8" w:rsidRPr="00EE6AFF" w:rsidRDefault="00AC3CE8" w:rsidP="00EE6AFF">
      <w:pPr>
        <w:pStyle w:val="Prrafodelista"/>
        <w:numPr>
          <w:ilvl w:val="0"/>
          <w:numId w:val="28"/>
        </w:numPr>
        <w:tabs>
          <w:tab w:val="left" w:pos="1875"/>
        </w:tabs>
        <w:spacing w:after="0" w:line="259" w:lineRule="auto"/>
        <w:jc w:val="both"/>
        <w:rPr>
          <w:rFonts w:ascii="Arial" w:eastAsia="Calibri" w:hAnsi="Arial" w:cs="Arial"/>
          <w:sz w:val="20"/>
          <w:szCs w:val="20"/>
          <w:lang w:val="es-CO" w:eastAsia="es-CO"/>
        </w:rPr>
      </w:pPr>
      <w:r w:rsidRPr="00EE6AFF">
        <w:rPr>
          <w:rFonts w:ascii="Arial" w:eastAsia="Calibri" w:hAnsi="Arial" w:cs="Arial"/>
          <w:sz w:val="20"/>
          <w:szCs w:val="20"/>
          <w:lang w:val="es-CO" w:eastAsia="es-CO"/>
        </w:rPr>
        <w:t>Apoyo a entidades territoriales a través de la cofinanciación para la asistencia, atención y reparación integral a las víctimas del desplazamiento forzado a nivel nacional $23.966.059.138, equivalente al 59,91%.</w:t>
      </w:r>
    </w:p>
    <w:p w14:paraId="6FABF25B" w14:textId="77777777" w:rsidR="00AC3CE8" w:rsidRPr="00EE6AFF" w:rsidRDefault="00AC3CE8" w:rsidP="00EE6AFF">
      <w:pPr>
        <w:pStyle w:val="Prrafodelista"/>
        <w:numPr>
          <w:ilvl w:val="0"/>
          <w:numId w:val="28"/>
        </w:numPr>
        <w:tabs>
          <w:tab w:val="left" w:pos="1875"/>
        </w:tabs>
        <w:spacing w:after="0" w:line="259" w:lineRule="auto"/>
        <w:jc w:val="both"/>
        <w:rPr>
          <w:rFonts w:ascii="Arial" w:eastAsia="Calibri" w:hAnsi="Arial" w:cs="Arial"/>
          <w:sz w:val="20"/>
          <w:szCs w:val="20"/>
          <w:lang w:val="es-CO" w:eastAsia="es-CO"/>
        </w:rPr>
      </w:pPr>
      <w:r w:rsidRPr="00EE6AFF">
        <w:rPr>
          <w:rFonts w:ascii="Arial" w:eastAsia="Calibri" w:hAnsi="Arial" w:cs="Arial"/>
          <w:sz w:val="20"/>
          <w:szCs w:val="20"/>
          <w:lang w:val="es-CO" w:eastAsia="es-CO"/>
        </w:rPr>
        <w:t>Implementación de procesos de retorno o reubicación de víctimas de desplazamiento forzado, en el marco de la reparación integral a nivel nacional $13.353.688.738, equivalente al 74,18%.</w:t>
      </w:r>
    </w:p>
    <w:p w14:paraId="327D8F96" w14:textId="77777777" w:rsidR="00AC3CE8" w:rsidRPr="00AC3CE8" w:rsidRDefault="00AC3CE8" w:rsidP="00AC3CE8">
      <w:pPr>
        <w:tabs>
          <w:tab w:val="left" w:pos="1875"/>
        </w:tabs>
        <w:spacing w:after="0"/>
        <w:ind w:left="709"/>
        <w:jc w:val="both"/>
        <w:rPr>
          <w:rFonts w:ascii="Arial" w:eastAsia="Calibri" w:hAnsi="Arial" w:cs="Arial"/>
          <w:sz w:val="20"/>
          <w:szCs w:val="20"/>
          <w:lang w:val="es-CO" w:eastAsia="es-CO"/>
        </w:rPr>
      </w:pPr>
    </w:p>
    <w:p w14:paraId="15FA3128" w14:textId="77777777" w:rsidR="00AC3CE8" w:rsidRPr="00AC3CE8" w:rsidRDefault="00AC3CE8" w:rsidP="00AC3CE8">
      <w:pPr>
        <w:tabs>
          <w:tab w:val="left" w:pos="1875"/>
        </w:tabs>
        <w:spacing w:after="0"/>
        <w:ind w:left="709"/>
        <w:jc w:val="both"/>
        <w:rPr>
          <w:rFonts w:ascii="Arial" w:eastAsia="Calibri" w:hAnsi="Arial" w:cs="Arial"/>
          <w:sz w:val="20"/>
          <w:szCs w:val="20"/>
          <w:lang w:val="es-CO" w:eastAsia="es-CO"/>
        </w:rPr>
      </w:pPr>
      <w:r w:rsidRPr="00AC3CE8">
        <w:rPr>
          <w:rFonts w:ascii="Arial" w:eastAsia="Calibri" w:hAnsi="Arial" w:cs="Arial"/>
          <w:sz w:val="20"/>
          <w:szCs w:val="20"/>
          <w:lang w:val="es-CO" w:eastAsia="es-CO"/>
        </w:rPr>
        <w:t>Adicional a lo anterior, a pesar de que el valor por comprometer ($309.150.688) en el proyecto de inversión “Apoyo a la consolidación de los derechos de las víctimas en el marco de la ley de víctimas y restitución de tierras a nivel nacional” parece exiguo en comparación con los seis (6) anteriores, este registra un compromiso del 15,30% ($55.849.312), de los cuales se han obligado y pagado $16.071.748, correspondiente al 28,77%.</w:t>
      </w:r>
    </w:p>
    <w:p w14:paraId="3A3C7FD5" w14:textId="77777777" w:rsidR="00AC3CE8" w:rsidRPr="00AC3CE8" w:rsidRDefault="00AC3CE8" w:rsidP="00AC3CE8">
      <w:pPr>
        <w:tabs>
          <w:tab w:val="left" w:pos="1875"/>
        </w:tabs>
        <w:spacing w:after="0"/>
        <w:jc w:val="both"/>
        <w:rPr>
          <w:rFonts w:ascii="Arial" w:eastAsia="Calibri" w:hAnsi="Arial" w:cs="Arial"/>
          <w:sz w:val="20"/>
          <w:szCs w:val="20"/>
          <w:lang w:val="es-CO" w:eastAsia="es-CO"/>
        </w:rPr>
      </w:pPr>
    </w:p>
    <w:p w14:paraId="3E00DFFA" w14:textId="77777777" w:rsidR="00AC3CE8" w:rsidRDefault="00AC3CE8" w:rsidP="00BF519D">
      <w:pPr>
        <w:numPr>
          <w:ilvl w:val="0"/>
          <w:numId w:val="8"/>
        </w:numPr>
        <w:tabs>
          <w:tab w:val="left" w:pos="1875"/>
        </w:tabs>
        <w:spacing w:after="0" w:line="259" w:lineRule="auto"/>
        <w:contextualSpacing/>
        <w:jc w:val="both"/>
        <w:rPr>
          <w:rFonts w:ascii="Arial" w:eastAsia="Calibri" w:hAnsi="Arial" w:cs="Arial"/>
          <w:sz w:val="20"/>
          <w:szCs w:val="20"/>
          <w:lang w:val="es-CO" w:eastAsia="es-CO"/>
        </w:rPr>
      </w:pPr>
      <w:r w:rsidRPr="00AC3CE8">
        <w:rPr>
          <w:rFonts w:ascii="Arial" w:eastAsia="Calibri" w:hAnsi="Arial" w:cs="Arial"/>
          <w:sz w:val="20"/>
          <w:szCs w:val="20"/>
          <w:lang w:val="es-CO" w:eastAsia="es-CO"/>
        </w:rPr>
        <w:t xml:space="preserve">En lo que concierne a reserva presupuestal, se han obligado $12.777.550.732,65 y pagado $11.979.136.023,65 respecto a los compromisos (17.315.042.088,65), equivalentes al 73,79% y 69,18% respectivamente. Están pendientes por ejecutar $5.335.906.065, los valores más representativos están reflejados en los proyectos de inversión “Apoyo a entidades territoriales a través de la cofinanciación para la asistencia, atención, y reparación integral a las víctimas del desplazamiento” por $1.967.075.977 e “Implementación de procesos de retorno o reubicación de víctimas de desplazamiento forzado, en el marco de la reparación integral a nivel nacional” por $1.252.922.854.  </w:t>
      </w:r>
    </w:p>
    <w:p w14:paraId="429D4C3E" w14:textId="77777777" w:rsidR="00AC3CE8" w:rsidRPr="00AC3CE8" w:rsidRDefault="00AC3CE8" w:rsidP="00AC3CE8">
      <w:pPr>
        <w:tabs>
          <w:tab w:val="left" w:pos="1875"/>
        </w:tabs>
        <w:spacing w:after="0" w:line="259" w:lineRule="auto"/>
        <w:ind w:left="720"/>
        <w:contextualSpacing/>
        <w:jc w:val="both"/>
        <w:rPr>
          <w:rFonts w:ascii="Arial" w:eastAsia="Calibri" w:hAnsi="Arial" w:cs="Arial"/>
          <w:sz w:val="20"/>
          <w:szCs w:val="20"/>
          <w:lang w:val="es-CO" w:eastAsia="es-CO"/>
        </w:rPr>
      </w:pPr>
      <w:r w:rsidRPr="00AC3CE8">
        <w:rPr>
          <w:rFonts w:ascii="Arial" w:eastAsia="Calibri" w:hAnsi="Arial" w:cs="Arial"/>
          <w:sz w:val="20"/>
          <w:szCs w:val="20"/>
          <w:lang w:val="es-CO" w:eastAsia="es-CO"/>
        </w:rPr>
        <w:t xml:space="preserve"> </w:t>
      </w:r>
    </w:p>
    <w:p w14:paraId="2782B8DF" w14:textId="77777777" w:rsidR="00AC3CE8" w:rsidRDefault="00AC3CE8" w:rsidP="00AC3CE8">
      <w:pPr>
        <w:tabs>
          <w:tab w:val="left" w:pos="1875"/>
        </w:tabs>
        <w:spacing w:after="0"/>
        <w:ind w:left="720"/>
        <w:contextualSpacing/>
        <w:jc w:val="both"/>
        <w:rPr>
          <w:rFonts w:ascii="Arial" w:eastAsia="Calibri" w:hAnsi="Arial" w:cs="Arial"/>
          <w:sz w:val="20"/>
          <w:szCs w:val="20"/>
          <w:lang w:val="es-CO" w:eastAsia="es-CO"/>
        </w:rPr>
      </w:pPr>
      <w:r w:rsidRPr="00AC3CE8">
        <w:rPr>
          <w:rFonts w:ascii="Arial" w:eastAsia="Calibri" w:hAnsi="Arial" w:cs="Arial"/>
          <w:sz w:val="20"/>
          <w:szCs w:val="20"/>
          <w:lang w:val="es-CO" w:eastAsia="es-CO"/>
        </w:rPr>
        <w:t>Asimismo, en el proyecto de inversión “Implementación de las medidas de reparación individual y colectiva nacional”, se han obligado $235.620 de $156.808.680 comprometidos, es decir el 0.15%.</w:t>
      </w:r>
    </w:p>
    <w:p w14:paraId="5CFB0E63" w14:textId="77777777" w:rsidR="00AC3CE8" w:rsidRPr="00AC3CE8" w:rsidRDefault="00AC3CE8" w:rsidP="00AC3CE8">
      <w:pPr>
        <w:tabs>
          <w:tab w:val="left" w:pos="1875"/>
        </w:tabs>
        <w:spacing w:after="0"/>
        <w:contextualSpacing/>
        <w:jc w:val="both"/>
        <w:rPr>
          <w:rFonts w:ascii="Arial" w:eastAsia="Calibri" w:hAnsi="Arial" w:cs="Arial"/>
          <w:sz w:val="20"/>
          <w:szCs w:val="20"/>
          <w:lang w:val="es-CO" w:eastAsia="es-CO"/>
        </w:rPr>
      </w:pPr>
    </w:p>
    <w:p w14:paraId="2663E1D4" w14:textId="77777777" w:rsidR="00AC3CE8" w:rsidRPr="00AC3CE8" w:rsidRDefault="00AC3CE8" w:rsidP="00AC3CE8">
      <w:pPr>
        <w:tabs>
          <w:tab w:val="left" w:pos="1875"/>
        </w:tabs>
        <w:spacing w:after="0"/>
        <w:ind w:left="720"/>
        <w:contextualSpacing/>
        <w:jc w:val="both"/>
        <w:rPr>
          <w:rFonts w:ascii="Arial" w:eastAsia="Calibri" w:hAnsi="Arial" w:cs="Arial"/>
          <w:sz w:val="20"/>
          <w:szCs w:val="20"/>
          <w:lang w:val="es-CO" w:eastAsia="es-CO"/>
        </w:rPr>
      </w:pPr>
      <w:r w:rsidRPr="00AC3CE8">
        <w:rPr>
          <w:rFonts w:ascii="Arial" w:eastAsia="Calibri" w:hAnsi="Arial" w:cs="Arial"/>
          <w:sz w:val="20"/>
          <w:szCs w:val="20"/>
          <w:lang w:val="es-CO" w:eastAsia="es-CO"/>
        </w:rPr>
        <w:t>Sumado a lo anterior, se observa un rezago entre lo obligado y pagado por $798.414.709, el cual corresponde a los proyectos de inversión “Mejoramiento de los canales de atención y comunicación para las víctimas para facilitar su acceso a la oferta institucional” e “Implementación de las medidas de reparación individual y colectiva nacional”.</w:t>
      </w:r>
    </w:p>
    <w:p w14:paraId="60DB5123" w14:textId="77777777" w:rsidR="00AC3CE8" w:rsidRPr="00AC3CE8" w:rsidRDefault="00AC3CE8" w:rsidP="00AC3CE8">
      <w:pPr>
        <w:tabs>
          <w:tab w:val="left" w:pos="1875"/>
        </w:tabs>
        <w:spacing w:after="0"/>
        <w:jc w:val="both"/>
        <w:rPr>
          <w:rFonts w:ascii="Arial" w:eastAsia="Calibri" w:hAnsi="Arial" w:cs="Arial"/>
          <w:sz w:val="20"/>
          <w:szCs w:val="20"/>
          <w:lang w:val="es-CO" w:eastAsia="es-CO"/>
        </w:rPr>
      </w:pPr>
    </w:p>
    <w:p w14:paraId="58C4A4B9" w14:textId="77777777" w:rsidR="00AC3CE8" w:rsidRPr="00AC3CE8" w:rsidRDefault="00AC3CE8" w:rsidP="00BF519D">
      <w:pPr>
        <w:numPr>
          <w:ilvl w:val="0"/>
          <w:numId w:val="8"/>
        </w:numPr>
        <w:tabs>
          <w:tab w:val="left" w:pos="1875"/>
        </w:tabs>
        <w:spacing w:after="0" w:line="259" w:lineRule="auto"/>
        <w:contextualSpacing/>
        <w:jc w:val="both"/>
        <w:rPr>
          <w:rFonts w:ascii="Arial" w:eastAsia="Calibri" w:hAnsi="Arial" w:cs="Arial"/>
          <w:b/>
          <w:sz w:val="20"/>
          <w:szCs w:val="20"/>
          <w:lang w:val="es-CO" w:eastAsia="es-CO"/>
        </w:rPr>
      </w:pPr>
      <w:r w:rsidRPr="00AC3CE8">
        <w:rPr>
          <w:rFonts w:ascii="Arial" w:eastAsia="Calibri" w:hAnsi="Arial" w:cs="Arial"/>
          <w:sz w:val="20"/>
          <w:szCs w:val="20"/>
          <w:lang w:val="es-CO" w:eastAsia="es-CO"/>
        </w:rPr>
        <w:lastRenderedPageBreak/>
        <w:t>En lo referente a cuentas por pagar, se registran obligaciones por $369.760.618.194,19 de las cuales se han efectuado pagos por $369.747.649.194,19, quedando pendiente un rezago de doce millones novecientos sesenta y nueve mil pesos ($12.969.000</w:t>
      </w:r>
      <w:r w:rsidRPr="00AC3CE8">
        <w:rPr>
          <w:rFonts w:ascii="Arial" w:eastAsia="Calibri" w:hAnsi="Arial" w:cs="Arial"/>
          <w:b/>
          <w:sz w:val="20"/>
          <w:szCs w:val="20"/>
          <w:lang w:val="es-CO" w:eastAsia="es-CO"/>
        </w:rPr>
        <w:t xml:space="preserve">).  </w:t>
      </w:r>
    </w:p>
    <w:p w14:paraId="0AF03476" w14:textId="77777777" w:rsidR="00AC3CE8" w:rsidRPr="00AC3CE8" w:rsidRDefault="00AC3CE8" w:rsidP="00AC3CE8">
      <w:pPr>
        <w:tabs>
          <w:tab w:val="left" w:pos="1875"/>
        </w:tabs>
        <w:spacing w:after="0"/>
        <w:rPr>
          <w:rFonts w:ascii="Arial" w:eastAsia="Calibri" w:hAnsi="Arial" w:cs="Arial"/>
          <w:b/>
          <w:sz w:val="20"/>
          <w:szCs w:val="20"/>
          <w:lang w:val="es-CO" w:eastAsia="es-CO"/>
        </w:rPr>
      </w:pPr>
    </w:p>
    <w:p w14:paraId="389F7321" w14:textId="2CA1044D" w:rsidR="00AC3CE8" w:rsidRPr="00457C59" w:rsidRDefault="00AC3CE8" w:rsidP="00457C59">
      <w:pPr>
        <w:pStyle w:val="Prrafodelista"/>
        <w:numPr>
          <w:ilvl w:val="0"/>
          <w:numId w:val="8"/>
        </w:numPr>
        <w:tabs>
          <w:tab w:val="left" w:pos="1875"/>
        </w:tabs>
        <w:spacing w:after="0" w:line="259" w:lineRule="auto"/>
        <w:jc w:val="both"/>
        <w:rPr>
          <w:rFonts w:ascii="Arial" w:eastAsia="Calibri" w:hAnsi="Arial" w:cs="Arial"/>
          <w:sz w:val="20"/>
          <w:szCs w:val="20"/>
          <w:lang w:val="es-CO" w:eastAsia="es-CO"/>
        </w:rPr>
      </w:pPr>
      <w:r w:rsidRPr="00457C59">
        <w:rPr>
          <w:rFonts w:ascii="Arial" w:eastAsia="Calibri" w:hAnsi="Arial" w:cs="Arial"/>
          <w:sz w:val="20"/>
          <w:szCs w:val="20"/>
          <w:lang w:val="es-CO" w:eastAsia="es-CO"/>
        </w:rPr>
        <w:t>Se recomienda a cada una de las dependencias responsables del rubro de funcionamiento y de los proyectos de inversión 2018, gestionar las acciones pertinentes para comprometer y ejecutar en el segundo semestre de 2018 los recursos pendientes por $332.145.433.706,782 y $591.038.415.773,71 respectivamente.</w:t>
      </w:r>
    </w:p>
    <w:p w14:paraId="58109A8B" w14:textId="77777777" w:rsidR="00AC3CE8" w:rsidRPr="00AC3CE8" w:rsidRDefault="00AC3CE8" w:rsidP="00AC3CE8">
      <w:pPr>
        <w:tabs>
          <w:tab w:val="left" w:pos="1875"/>
        </w:tabs>
        <w:spacing w:after="0"/>
        <w:jc w:val="both"/>
        <w:rPr>
          <w:rFonts w:ascii="Arial" w:eastAsia="Calibri" w:hAnsi="Arial" w:cs="Arial"/>
          <w:sz w:val="20"/>
          <w:szCs w:val="20"/>
          <w:lang w:val="es-CO" w:eastAsia="es-CO"/>
        </w:rPr>
      </w:pPr>
    </w:p>
    <w:p w14:paraId="1005B35F" w14:textId="36E2F9E9" w:rsidR="00AC3CE8" w:rsidRPr="00457C59" w:rsidRDefault="00AC3CE8" w:rsidP="00457C59">
      <w:pPr>
        <w:pStyle w:val="Prrafodelista"/>
        <w:numPr>
          <w:ilvl w:val="0"/>
          <w:numId w:val="8"/>
        </w:numPr>
        <w:tabs>
          <w:tab w:val="left" w:pos="1875"/>
        </w:tabs>
        <w:spacing w:after="0" w:line="259" w:lineRule="auto"/>
        <w:jc w:val="both"/>
        <w:rPr>
          <w:rFonts w:ascii="Arial" w:eastAsia="Calibri" w:hAnsi="Arial" w:cs="Arial"/>
          <w:sz w:val="20"/>
          <w:szCs w:val="20"/>
          <w:lang w:val="es-CO" w:eastAsia="es-CO"/>
        </w:rPr>
      </w:pPr>
      <w:r w:rsidRPr="00457C59">
        <w:rPr>
          <w:rFonts w:ascii="Arial" w:eastAsia="Calibri" w:hAnsi="Arial" w:cs="Arial"/>
          <w:sz w:val="20"/>
          <w:szCs w:val="20"/>
          <w:lang w:val="es-CO" w:eastAsia="es-CO"/>
        </w:rPr>
        <w:t>Adelantar acciones oportunas que permitan equilibrar la diferencia que existe entre lo comprometido y lo obligado en el rubro de funcionamiento por $21.739.646.393,01 equivalente al 5,96%, y de inversión la suma que asciende a $134.634.675.013,10, equivalente al 22.3%.</w:t>
      </w:r>
    </w:p>
    <w:p w14:paraId="45BEF411" w14:textId="77777777" w:rsidR="00AC3CE8" w:rsidRPr="00AC3CE8" w:rsidRDefault="00AC3CE8" w:rsidP="00AC3CE8">
      <w:pPr>
        <w:tabs>
          <w:tab w:val="left" w:pos="1875"/>
        </w:tabs>
        <w:spacing w:after="0"/>
        <w:jc w:val="both"/>
        <w:rPr>
          <w:rFonts w:ascii="Arial" w:eastAsia="Calibri" w:hAnsi="Arial" w:cs="Arial"/>
          <w:sz w:val="20"/>
          <w:szCs w:val="20"/>
          <w:lang w:val="es-CO" w:eastAsia="es-CO"/>
        </w:rPr>
      </w:pPr>
    </w:p>
    <w:p w14:paraId="49A5FEA0" w14:textId="06C88291" w:rsidR="00AC3CE8" w:rsidRPr="00457C59" w:rsidRDefault="00AC3CE8" w:rsidP="00457C59">
      <w:pPr>
        <w:pStyle w:val="Prrafodelista"/>
        <w:numPr>
          <w:ilvl w:val="0"/>
          <w:numId w:val="8"/>
        </w:numPr>
        <w:tabs>
          <w:tab w:val="left" w:pos="1875"/>
        </w:tabs>
        <w:spacing w:after="0" w:line="259" w:lineRule="auto"/>
        <w:jc w:val="both"/>
        <w:rPr>
          <w:rFonts w:ascii="Arial" w:eastAsia="Calibri" w:hAnsi="Arial" w:cs="Arial"/>
          <w:sz w:val="20"/>
          <w:szCs w:val="20"/>
          <w:lang w:val="es-CO" w:eastAsia="es-CO"/>
        </w:rPr>
      </w:pPr>
      <w:r w:rsidRPr="00457C59">
        <w:rPr>
          <w:rFonts w:ascii="Arial" w:eastAsia="Calibri" w:hAnsi="Arial" w:cs="Arial"/>
          <w:sz w:val="20"/>
          <w:szCs w:val="20"/>
          <w:lang w:val="es-CO" w:eastAsia="es-CO"/>
        </w:rPr>
        <w:t xml:space="preserve">Efectuar los pagos del rezago presupuestal en la reserva de funcionamiento por valor de $143.514, en lo relacionado a inversión en </w:t>
      </w:r>
      <w:r w:rsidR="00400176">
        <w:rPr>
          <w:rFonts w:ascii="Arial" w:eastAsia="Calibri" w:hAnsi="Arial" w:cs="Arial"/>
          <w:sz w:val="20"/>
          <w:szCs w:val="20"/>
          <w:lang w:val="es-CO" w:eastAsia="es-CO"/>
        </w:rPr>
        <w:t xml:space="preserve">lo referente a </w:t>
      </w:r>
      <w:r w:rsidRPr="00457C59">
        <w:rPr>
          <w:rFonts w:ascii="Arial" w:eastAsia="Calibri" w:hAnsi="Arial" w:cs="Arial"/>
          <w:sz w:val="20"/>
          <w:szCs w:val="20"/>
          <w:lang w:val="es-CO" w:eastAsia="es-CO"/>
        </w:rPr>
        <w:t xml:space="preserve">cuentas por pagar de $12.969.000 y </w:t>
      </w:r>
      <w:r w:rsidR="00400176" w:rsidRPr="00457C59">
        <w:rPr>
          <w:rFonts w:ascii="Arial" w:eastAsia="Calibri" w:hAnsi="Arial" w:cs="Arial"/>
          <w:sz w:val="20"/>
          <w:szCs w:val="20"/>
          <w:lang w:val="es-CO" w:eastAsia="es-CO"/>
        </w:rPr>
        <w:t>reservas presupuestales</w:t>
      </w:r>
      <w:r w:rsidRPr="00457C59">
        <w:rPr>
          <w:rFonts w:ascii="Arial" w:eastAsia="Calibri" w:hAnsi="Arial" w:cs="Arial"/>
          <w:sz w:val="20"/>
          <w:szCs w:val="20"/>
          <w:lang w:val="es-CO" w:eastAsia="es-CO"/>
        </w:rPr>
        <w:t xml:space="preserve"> por $798.414.709. </w:t>
      </w:r>
    </w:p>
    <w:p w14:paraId="002620C9" w14:textId="77777777" w:rsidR="00AC3CE8" w:rsidRPr="00AC3CE8" w:rsidRDefault="00AC3CE8" w:rsidP="00AC3CE8">
      <w:pPr>
        <w:tabs>
          <w:tab w:val="left" w:pos="1875"/>
        </w:tabs>
        <w:spacing w:after="0"/>
        <w:jc w:val="both"/>
        <w:rPr>
          <w:rFonts w:ascii="Arial" w:eastAsia="Calibri" w:hAnsi="Arial" w:cs="Arial"/>
          <w:sz w:val="20"/>
          <w:szCs w:val="20"/>
          <w:lang w:val="es-CO" w:eastAsia="es-CO"/>
        </w:rPr>
      </w:pPr>
    </w:p>
    <w:p w14:paraId="51C47EA2" w14:textId="77777777" w:rsidR="00AC3CE8" w:rsidRPr="00EE6AFF" w:rsidRDefault="00AC3CE8" w:rsidP="00457C59">
      <w:pPr>
        <w:pStyle w:val="Prrafodelista"/>
        <w:numPr>
          <w:ilvl w:val="0"/>
          <w:numId w:val="8"/>
        </w:numPr>
        <w:tabs>
          <w:tab w:val="left" w:pos="1875"/>
        </w:tabs>
        <w:spacing w:after="0" w:line="259" w:lineRule="auto"/>
        <w:jc w:val="both"/>
        <w:rPr>
          <w:rFonts w:ascii="Arial" w:eastAsia="Calibri" w:hAnsi="Arial" w:cs="Arial"/>
          <w:sz w:val="20"/>
          <w:szCs w:val="20"/>
          <w:lang w:val="es-CO" w:eastAsia="es-CO"/>
        </w:rPr>
      </w:pPr>
      <w:r w:rsidRPr="00EE6AFF">
        <w:rPr>
          <w:rFonts w:ascii="Arial" w:eastAsia="Calibri" w:hAnsi="Arial" w:cs="Arial"/>
          <w:sz w:val="20"/>
          <w:szCs w:val="20"/>
          <w:lang w:val="es-CO" w:eastAsia="es-CO"/>
        </w:rPr>
        <w:t>Tener en cuenta lo establecido en el Numeral 3, Artículo 34 de la Ley 734 de 2002, que expresa lo siguiente: “Formular, decidir oportunamente o ejecutar los planes de desarrollo y los presupuestos, y cumplir las leyes y normas que regulan el manejo de los recursos económicos públicos, o afectos al servicio público”.</w:t>
      </w:r>
    </w:p>
    <w:p w14:paraId="7A3AEEDB" w14:textId="77777777" w:rsidR="00F32F13" w:rsidRPr="004C11AA" w:rsidRDefault="00F32F13" w:rsidP="001D6D30">
      <w:pPr>
        <w:spacing w:after="0"/>
        <w:jc w:val="both"/>
        <w:rPr>
          <w:rFonts w:ascii="Arial" w:eastAsia="Calibri" w:hAnsi="Arial" w:cs="Arial"/>
          <w:sz w:val="20"/>
          <w:szCs w:val="20"/>
          <w:lang w:val="es-CO" w:eastAsia="es-ES"/>
        </w:rPr>
      </w:pPr>
    </w:p>
    <w:p w14:paraId="41EA4643" w14:textId="2D12ADF6" w:rsidR="00017825" w:rsidRPr="00462695" w:rsidRDefault="00AC3CE8" w:rsidP="00BF519D">
      <w:pPr>
        <w:pStyle w:val="Prrafodelista"/>
        <w:numPr>
          <w:ilvl w:val="1"/>
          <w:numId w:val="1"/>
        </w:numPr>
        <w:spacing w:after="0"/>
        <w:rPr>
          <w:rFonts w:ascii="Arial" w:eastAsia="Times New Roman" w:hAnsi="Arial" w:cs="Arial"/>
          <w:b/>
          <w:sz w:val="22"/>
          <w:szCs w:val="22"/>
          <w:lang w:eastAsia="es-ES"/>
        </w:rPr>
      </w:pPr>
      <w:r w:rsidRPr="00AC3CE8">
        <w:rPr>
          <w:rFonts w:ascii="Arial" w:eastAsia="Times New Roman" w:hAnsi="Arial" w:cs="Arial"/>
          <w:b/>
          <w:sz w:val="20"/>
          <w:szCs w:val="20"/>
          <w:lang w:eastAsia="es-ES"/>
        </w:rPr>
        <w:t>Ejecución CDP Vs Compromisos por dependencias a 30 de junio de 2018:</w:t>
      </w:r>
    </w:p>
    <w:p w14:paraId="40A878E7" w14:textId="77777777" w:rsidR="00462695" w:rsidRPr="00AC3CE8" w:rsidRDefault="00462695" w:rsidP="00462695">
      <w:pPr>
        <w:pStyle w:val="Prrafodelista"/>
        <w:spacing w:after="0"/>
        <w:ind w:left="705"/>
        <w:rPr>
          <w:rFonts w:ascii="Arial" w:eastAsia="Times New Roman" w:hAnsi="Arial" w:cs="Arial"/>
          <w:b/>
          <w:sz w:val="22"/>
          <w:szCs w:val="22"/>
          <w:lang w:eastAsia="es-ES"/>
        </w:rPr>
      </w:pPr>
    </w:p>
    <w:p w14:paraId="49C17609" w14:textId="77777777" w:rsidR="00AC3CE8" w:rsidRPr="00AC3CE8" w:rsidRDefault="00426833" w:rsidP="00AC3CE8">
      <w:pPr>
        <w:tabs>
          <w:tab w:val="left" w:pos="1875"/>
        </w:tabs>
        <w:spacing w:after="0" w:line="259" w:lineRule="auto"/>
        <w:jc w:val="center"/>
        <w:rPr>
          <w:rFonts w:ascii="Arial" w:eastAsia="Calibri" w:hAnsi="Arial" w:cs="Arial"/>
          <w:sz w:val="22"/>
          <w:szCs w:val="22"/>
          <w:lang w:val="es-CO" w:eastAsia="es-CO"/>
        </w:rPr>
      </w:pPr>
      <w:r w:rsidRPr="00426833">
        <w:rPr>
          <w:noProof/>
          <w:lang w:eastAsia="es-ES"/>
        </w:rPr>
        <w:drawing>
          <wp:inline distT="0" distB="0" distL="0" distR="0" wp14:anchorId="22C9DC49" wp14:editId="2A71BC11">
            <wp:extent cx="5657850" cy="330517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706110" cy="3333367"/>
                    </a:xfrm>
                    <a:prstGeom prst="rect">
                      <a:avLst/>
                    </a:prstGeom>
                    <a:noFill/>
                    <a:ln>
                      <a:noFill/>
                    </a:ln>
                  </pic:spPr>
                </pic:pic>
              </a:graphicData>
            </a:graphic>
          </wp:inline>
        </w:drawing>
      </w:r>
    </w:p>
    <w:p w14:paraId="1DDA203F" w14:textId="1E0F4859" w:rsidR="004D028B" w:rsidRPr="004D028B" w:rsidRDefault="00CB7B63" w:rsidP="004D028B">
      <w:pPr>
        <w:tabs>
          <w:tab w:val="left" w:pos="910"/>
        </w:tabs>
        <w:spacing w:after="0" w:line="259" w:lineRule="auto"/>
        <w:rPr>
          <w:rFonts w:ascii="Arial" w:eastAsia="Times New Roman" w:hAnsi="Arial" w:cs="Arial"/>
          <w:sz w:val="10"/>
          <w:szCs w:val="10"/>
          <w:lang w:eastAsia="es-ES"/>
        </w:rPr>
      </w:pPr>
      <w:r>
        <w:rPr>
          <w:rFonts w:ascii="Arial" w:eastAsia="Calibri" w:hAnsi="Arial" w:cs="Arial"/>
          <w:i/>
          <w:sz w:val="10"/>
          <w:szCs w:val="10"/>
          <w:lang w:val="es-CO" w:eastAsia="es-CO"/>
        </w:rPr>
        <w:t xml:space="preserve">       </w:t>
      </w:r>
      <w:r w:rsidR="00AC3CE8" w:rsidRPr="004D028B">
        <w:rPr>
          <w:rFonts w:ascii="Arial" w:eastAsia="Calibri" w:hAnsi="Arial" w:cs="Arial"/>
          <w:i/>
          <w:sz w:val="10"/>
          <w:szCs w:val="10"/>
          <w:lang w:val="es-CO" w:eastAsia="es-CO"/>
        </w:rPr>
        <w:t xml:space="preserve">Fuente: TOTORO-Ejecución Presupuestal junio 2018 </w:t>
      </w:r>
      <w:hyperlink r:id="rId49" w:history="1">
        <w:r w:rsidR="00AC3CE8" w:rsidRPr="004D028B">
          <w:rPr>
            <w:rFonts w:ascii="Arial" w:eastAsia="Calibri" w:hAnsi="Arial" w:cs="Arial"/>
            <w:i/>
            <w:color w:val="0000FF"/>
            <w:sz w:val="10"/>
            <w:szCs w:val="10"/>
            <w:u w:val="single"/>
            <w:lang w:val="es-CO" w:eastAsia="es-CO"/>
          </w:rPr>
          <w:t>\\totoro\Unidad_Victimas\Financiera\Presupuesto\2018</w:t>
        </w:r>
      </w:hyperlink>
      <w:r w:rsidR="004D028B" w:rsidRPr="004D028B">
        <w:rPr>
          <w:rFonts w:ascii="Arial" w:eastAsia="Calibri" w:hAnsi="Arial" w:cs="Arial"/>
          <w:i/>
          <w:color w:val="0000FF"/>
          <w:sz w:val="10"/>
          <w:szCs w:val="10"/>
          <w:u w:val="single"/>
          <w:lang w:val="es-CO" w:eastAsia="es-CO"/>
        </w:rPr>
        <w:t xml:space="preserve"> </w:t>
      </w:r>
      <w:r w:rsidR="004D028B" w:rsidRPr="004D028B">
        <w:rPr>
          <w:rFonts w:ascii="Arial" w:eastAsia="Times New Roman" w:hAnsi="Arial" w:cs="Arial"/>
          <w:sz w:val="10"/>
          <w:szCs w:val="10"/>
          <w:lang w:eastAsia="es-ES"/>
        </w:rPr>
        <w:t xml:space="preserve"> </w:t>
      </w:r>
    </w:p>
    <w:p w14:paraId="5413D6B8" w14:textId="77777777" w:rsidR="00AC3CE8" w:rsidRPr="004D028B" w:rsidRDefault="00AC3CE8" w:rsidP="00AC3CE8">
      <w:pPr>
        <w:tabs>
          <w:tab w:val="left" w:pos="1875"/>
        </w:tabs>
        <w:spacing w:after="0" w:line="259" w:lineRule="auto"/>
        <w:jc w:val="center"/>
        <w:rPr>
          <w:rFonts w:ascii="Arial" w:eastAsia="Calibri" w:hAnsi="Arial" w:cs="Arial"/>
          <w:i/>
          <w:sz w:val="10"/>
          <w:szCs w:val="10"/>
          <w:lang w:val="es-CO" w:eastAsia="es-CO"/>
        </w:rPr>
      </w:pPr>
    </w:p>
    <w:p w14:paraId="4D18BA1B" w14:textId="77777777" w:rsidR="00AC3CE8" w:rsidRPr="00AC3CE8" w:rsidRDefault="00426833" w:rsidP="00AC3CE8">
      <w:pPr>
        <w:spacing w:after="0"/>
        <w:contextualSpacing/>
        <w:jc w:val="center"/>
        <w:rPr>
          <w:rFonts w:ascii="Arial" w:eastAsia="Times New Roman" w:hAnsi="Arial" w:cs="Arial"/>
          <w:b/>
          <w:lang w:eastAsia="es-ES"/>
        </w:rPr>
      </w:pPr>
      <w:r w:rsidRPr="00426833">
        <w:rPr>
          <w:noProof/>
          <w:lang w:eastAsia="es-ES"/>
        </w:rPr>
        <w:lastRenderedPageBreak/>
        <w:drawing>
          <wp:inline distT="0" distB="0" distL="0" distR="0" wp14:anchorId="73887CEA" wp14:editId="76CF3756">
            <wp:extent cx="5667375" cy="399097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682560" cy="4001668"/>
                    </a:xfrm>
                    <a:prstGeom prst="rect">
                      <a:avLst/>
                    </a:prstGeom>
                    <a:noFill/>
                    <a:ln>
                      <a:noFill/>
                    </a:ln>
                  </pic:spPr>
                </pic:pic>
              </a:graphicData>
            </a:graphic>
          </wp:inline>
        </w:drawing>
      </w:r>
    </w:p>
    <w:p w14:paraId="15F1132F" w14:textId="5236B338" w:rsidR="00AC3CE8" w:rsidRDefault="004D028B" w:rsidP="00CB7B63">
      <w:pPr>
        <w:tabs>
          <w:tab w:val="left" w:pos="910"/>
        </w:tabs>
        <w:spacing w:after="0" w:line="259" w:lineRule="auto"/>
        <w:rPr>
          <w:rFonts w:ascii="Arial" w:eastAsia="Times New Roman" w:hAnsi="Arial" w:cs="Arial"/>
          <w:sz w:val="10"/>
          <w:szCs w:val="20"/>
          <w:lang w:eastAsia="es-ES"/>
        </w:rPr>
      </w:pPr>
      <w:r w:rsidRPr="004D028B">
        <w:rPr>
          <w:rFonts w:ascii="Arial" w:eastAsia="Times New Roman" w:hAnsi="Arial" w:cs="Arial"/>
          <w:sz w:val="10"/>
          <w:szCs w:val="20"/>
          <w:lang w:eastAsia="es-ES"/>
        </w:rPr>
        <w:t xml:space="preserve">Fuente: Matriz Ejecución Presupuestal </w:t>
      </w:r>
      <w:proofErr w:type="gramStart"/>
      <w:r>
        <w:rPr>
          <w:rFonts w:ascii="Arial" w:eastAsia="Times New Roman" w:hAnsi="Arial" w:cs="Arial"/>
          <w:sz w:val="10"/>
          <w:szCs w:val="20"/>
          <w:lang w:eastAsia="es-ES"/>
        </w:rPr>
        <w:t>Junio</w:t>
      </w:r>
      <w:proofErr w:type="gramEnd"/>
      <w:r>
        <w:rPr>
          <w:rFonts w:ascii="Arial" w:eastAsia="Times New Roman" w:hAnsi="Arial" w:cs="Arial"/>
          <w:sz w:val="10"/>
          <w:szCs w:val="20"/>
          <w:lang w:eastAsia="es-ES"/>
        </w:rPr>
        <w:t xml:space="preserve"> 2018 </w:t>
      </w:r>
      <w:r w:rsidR="00CB7B63">
        <w:rPr>
          <w:rFonts w:ascii="Arial" w:eastAsia="Times New Roman" w:hAnsi="Arial" w:cs="Arial"/>
          <w:sz w:val="10"/>
          <w:szCs w:val="20"/>
          <w:lang w:eastAsia="es-ES"/>
        </w:rPr>
        <w:t xml:space="preserve">TOTORO </w:t>
      </w:r>
    </w:p>
    <w:p w14:paraId="17864ABB" w14:textId="77777777" w:rsidR="00CB7B63" w:rsidRPr="00CB7B63" w:rsidRDefault="00CB7B63" w:rsidP="00CB7B63">
      <w:pPr>
        <w:tabs>
          <w:tab w:val="left" w:pos="910"/>
        </w:tabs>
        <w:spacing w:after="0" w:line="259" w:lineRule="auto"/>
        <w:rPr>
          <w:rFonts w:ascii="Arial" w:eastAsia="Times New Roman" w:hAnsi="Arial" w:cs="Arial"/>
          <w:sz w:val="10"/>
          <w:szCs w:val="20"/>
          <w:lang w:eastAsia="es-ES"/>
        </w:rPr>
      </w:pPr>
    </w:p>
    <w:p w14:paraId="5C79AB2C" w14:textId="6D43C3AD" w:rsidR="00AC3CE8" w:rsidRDefault="00AC3CE8" w:rsidP="00AC3CE8">
      <w:pPr>
        <w:spacing w:after="0"/>
        <w:contextualSpacing/>
        <w:jc w:val="both"/>
        <w:rPr>
          <w:rFonts w:ascii="Arial" w:eastAsia="Times New Roman" w:hAnsi="Arial" w:cs="Arial"/>
          <w:sz w:val="20"/>
          <w:szCs w:val="20"/>
          <w:lang w:eastAsia="es-ES"/>
        </w:rPr>
      </w:pPr>
      <w:r w:rsidRPr="00AC3CE8">
        <w:rPr>
          <w:rFonts w:ascii="Arial" w:eastAsia="Times New Roman" w:hAnsi="Arial" w:cs="Arial"/>
          <w:sz w:val="20"/>
          <w:szCs w:val="20"/>
          <w:lang w:eastAsia="es-ES"/>
        </w:rPr>
        <w:t xml:space="preserve">Teniendo en cuenta los porcentajes de ejecución que se detallan en el cuadro anterior, se observa que </w:t>
      </w:r>
      <w:r w:rsidR="007538DC">
        <w:rPr>
          <w:rFonts w:ascii="Arial" w:eastAsia="Times New Roman" w:hAnsi="Arial" w:cs="Arial"/>
          <w:sz w:val="20"/>
          <w:szCs w:val="20"/>
          <w:lang w:eastAsia="es-ES"/>
        </w:rPr>
        <w:t xml:space="preserve">de </w:t>
      </w:r>
      <w:r w:rsidRPr="00AC3CE8">
        <w:rPr>
          <w:rFonts w:ascii="Arial" w:eastAsia="Times New Roman" w:hAnsi="Arial" w:cs="Arial"/>
          <w:sz w:val="20"/>
          <w:szCs w:val="20"/>
          <w:lang w:eastAsia="es-ES"/>
        </w:rPr>
        <w:t>las 27 dependencias 10 se encuentran por debajo del 50% con corte al 30 de junio d</w:t>
      </w:r>
      <w:r w:rsidR="00CD72E8">
        <w:rPr>
          <w:rFonts w:ascii="Arial" w:eastAsia="Times New Roman" w:hAnsi="Arial" w:cs="Arial"/>
          <w:sz w:val="20"/>
          <w:szCs w:val="20"/>
          <w:lang w:eastAsia="es-ES"/>
        </w:rPr>
        <w:t>el 2018, lo que equivale al 37%.</w:t>
      </w:r>
      <w:r w:rsidRPr="00AC3CE8">
        <w:rPr>
          <w:rFonts w:ascii="Arial" w:eastAsia="Times New Roman" w:hAnsi="Arial" w:cs="Arial"/>
          <w:sz w:val="20"/>
          <w:szCs w:val="20"/>
          <w:lang w:eastAsia="es-ES"/>
        </w:rPr>
        <w:t xml:space="preserve">  </w:t>
      </w:r>
    </w:p>
    <w:p w14:paraId="076AE7FC" w14:textId="77777777" w:rsidR="00E376B9" w:rsidRPr="00AC3CE8" w:rsidRDefault="00E376B9" w:rsidP="00AC3CE8">
      <w:pPr>
        <w:spacing w:after="0"/>
        <w:contextualSpacing/>
        <w:jc w:val="both"/>
        <w:rPr>
          <w:rFonts w:ascii="Arial" w:eastAsia="Times New Roman" w:hAnsi="Arial" w:cs="Arial"/>
          <w:sz w:val="20"/>
          <w:szCs w:val="20"/>
          <w:lang w:eastAsia="es-ES"/>
        </w:rPr>
      </w:pPr>
    </w:p>
    <w:p w14:paraId="42A89133" w14:textId="06AD0649" w:rsidR="00AC3CE8" w:rsidRPr="00AC3CE8" w:rsidRDefault="00AC3CE8" w:rsidP="00AC3CE8">
      <w:pPr>
        <w:spacing w:after="0"/>
        <w:contextualSpacing/>
        <w:jc w:val="both"/>
        <w:rPr>
          <w:rFonts w:ascii="Arial" w:eastAsia="Times New Roman" w:hAnsi="Arial" w:cs="Arial"/>
          <w:sz w:val="20"/>
          <w:szCs w:val="20"/>
          <w:lang w:eastAsia="es-ES"/>
        </w:rPr>
      </w:pPr>
      <w:r w:rsidRPr="00AC3CE8">
        <w:rPr>
          <w:rFonts w:ascii="Arial" w:eastAsia="Times New Roman" w:hAnsi="Arial" w:cs="Arial"/>
          <w:sz w:val="20"/>
          <w:szCs w:val="20"/>
          <w:lang w:eastAsia="es-ES"/>
        </w:rPr>
        <w:t xml:space="preserve">Dado lo anterior, se sugiere que </w:t>
      </w:r>
      <w:r w:rsidR="00033FD2">
        <w:rPr>
          <w:rFonts w:ascii="Arial" w:eastAsia="Times New Roman" w:hAnsi="Arial" w:cs="Arial"/>
          <w:sz w:val="20"/>
          <w:szCs w:val="20"/>
          <w:lang w:eastAsia="es-ES"/>
        </w:rPr>
        <w:t xml:space="preserve">la UARIV en coordinación con la </w:t>
      </w:r>
      <w:r w:rsidRPr="00AC3CE8">
        <w:rPr>
          <w:rFonts w:ascii="Arial" w:eastAsia="Times New Roman" w:hAnsi="Arial" w:cs="Arial"/>
          <w:sz w:val="20"/>
          <w:szCs w:val="20"/>
          <w:lang w:eastAsia="es-ES"/>
        </w:rPr>
        <w:t>Secretaria General implemente acciones complementarias tendientes a fortalecer la gestión en el cumplimiento de la ejecución presupuestal.</w:t>
      </w:r>
    </w:p>
    <w:p w14:paraId="1E6C94FD" w14:textId="77777777" w:rsidR="00E40214" w:rsidRPr="004C11AA" w:rsidRDefault="00E40214" w:rsidP="00361622">
      <w:pPr>
        <w:spacing w:after="0"/>
        <w:jc w:val="both"/>
        <w:rPr>
          <w:rFonts w:ascii="Arial" w:eastAsia="Calibri" w:hAnsi="Arial" w:cs="Arial"/>
          <w:sz w:val="20"/>
          <w:szCs w:val="20"/>
          <w:lang w:val="es-CO" w:eastAsia="es-ES"/>
        </w:rPr>
      </w:pPr>
    </w:p>
    <w:p w14:paraId="469C7791" w14:textId="77777777" w:rsidR="00AC3CE8" w:rsidRPr="00AC3CE8" w:rsidRDefault="00AC3CE8" w:rsidP="00BF519D">
      <w:pPr>
        <w:pStyle w:val="Prrafodelista"/>
        <w:numPr>
          <w:ilvl w:val="1"/>
          <w:numId w:val="1"/>
        </w:numPr>
        <w:spacing w:after="0" w:line="259" w:lineRule="auto"/>
        <w:rPr>
          <w:rFonts w:ascii="Arial" w:eastAsia="Times New Roman" w:hAnsi="Arial" w:cs="Arial"/>
          <w:b/>
          <w:sz w:val="20"/>
          <w:szCs w:val="20"/>
          <w:lang w:val="es-ES_tradnl" w:eastAsia="es-ES"/>
        </w:rPr>
      </w:pPr>
      <w:r w:rsidRPr="00AC3CE8">
        <w:rPr>
          <w:rFonts w:ascii="Arial" w:eastAsia="Times New Roman" w:hAnsi="Arial" w:cs="Arial"/>
          <w:b/>
          <w:sz w:val="20"/>
          <w:szCs w:val="20"/>
          <w:lang w:val="es-ES_tradnl" w:eastAsia="es-ES"/>
        </w:rPr>
        <w:t>Programa Anual Mensualizado de Caja-PAC</w:t>
      </w:r>
    </w:p>
    <w:p w14:paraId="59FAF02E" w14:textId="77777777" w:rsidR="00E3134D" w:rsidRDefault="00E3134D" w:rsidP="00E3134D">
      <w:pPr>
        <w:spacing w:after="0"/>
        <w:contextualSpacing/>
        <w:jc w:val="both"/>
        <w:rPr>
          <w:rFonts w:ascii="Arial" w:eastAsia="Times New Roman" w:hAnsi="Arial" w:cs="Arial"/>
          <w:sz w:val="20"/>
          <w:szCs w:val="20"/>
          <w:lang w:val="es-ES_tradnl" w:eastAsia="es-ES"/>
        </w:rPr>
      </w:pPr>
    </w:p>
    <w:p w14:paraId="53CA8A3D" w14:textId="6E94B544" w:rsidR="00AC3CE8" w:rsidRPr="00CD72E8" w:rsidRDefault="00AC3CE8" w:rsidP="00E3134D">
      <w:pPr>
        <w:spacing w:after="0"/>
        <w:contextualSpacing/>
        <w:jc w:val="both"/>
        <w:rPr>
          <w:rFonts w:ascii="Arial" w:eastAsia="Times New Roman" w:hAnsi="Arial" w:cs="Arial"/>
          <w:i/>
          <w:sz w:val="20"/>
          <w:szCs w:val="20"/>
          <w:lang w:val="es-ES_tradnl" w:eastAsia="es-ES"/>
        </w:rPr>
      </w:pPr>
      <w:r w:rsidRPr="00AC3CE8">
        <w:rPr>
          <w:rFonts w:ascii="Arial" w:eastAsia="Times New Roman" w:hAnsi="Arial" w:cs="Arial"/>
          <w:sz w:val="20"/>
          <w:szCs w:val="20"/>
          <w:lang w:val="es-ES_tradnl" w:eastAsia="es-ES"/>
        </w:rPr>
        <w:t xml:space="preserve">De acuerdo con lo establecido en el artículo 32 de la ley 179 de 1994 define el PAC como: </w:t>
      </w:r>
      <w:r w:rsidRPr="00CD72E8">
        <w:rPr>
          <w:rFonts w:ascii="Arial" w:eastAsia="Times New Roman" w:hAnsi="Arial" w:cs="Arial"/>
          <w:i/>
          <w:sz w:val="20"/>
          <w:szCs w:val="20"/>
          <w:lang w:val="es-ES_tradnl" w:eastAsia="es-ES"/>
        </w:rPr>
        <w:t>“Este es el instrumento mediante el cual se define el monto máximo mensual de fondos disponibles en la Cuenta Única Nacional, para los órganos financiados con recursos de la Nación, y el monto máximo mensual de pagos de los establecimientos públicos del orden nacional en lo que se refiere a sus propios ingresos, con el fin de cumplir sus compromisos. En consecuencia, los pagos se harán teniendo en cuenta el PAC y se sujetarán a los montos aprobados en él.”</w:t>
      </w:r>
    </w:p>
    <w:p w14:paraId="1B6E0078" w14:textId="77777777" w:rsidR="00E3134D" w:rsidRDefault="00E3134D" w:rsidP="00E3134D">
      <w:pPr>
        <w:spacing w:after="0"/>
        <w:contextualSpacing/>
        <w:jc w:val="both"/>
        <w:rPr>
          <w:rFonts w:ascii="Arial" w:eastAsia="Times New Roman" w:hAnsi="Arial" w:cs="Arial"/>
          <w:sz w:val="20"/>
          <w:szCs w:val="20"/>
          <w:lang w:val="es-ES_tradnl" w:eastAsia="es-ES"/>
        </w:rPr>
      </w:pPr>
    </w:p>
    <w:p w14:paraId="010A8A9F" w14:textId="7F1A4B72" w:rsidR="00AC3CE8" w:rsidRPr="00AC3CE8" w:rsidRDefault="00AC3CE8" w:rsidP="00E3134D">
      <w:pPr>
        <w:spacing w:after="0"/>
        <w:contextualSpacing/>
        <w:jc w:val="both"/>
        <w:rPr>
          <w:rFonts w:ascii="Arial" w:eastAsia="Times New Roman" w:hAnsi="Arial" w:cs="Arial"/>
          <w:sz w:val="20"/>
          <w:szCs w:val="20"/>
          <w:lang w:val="es-ES_tradnl" w:eastAsia="es-ES"/>
        </w:rPr>
      </w:pPr>
      <w:r w:rsidRPr="00AC3CE8">
        <w:rPr>
          <w:rFonts w:ascii="Arial" w:eastAsia="Times New Roman" w:hAnsi="Arial" w:cs="Arial"/>
          <w:sz w:val="20"/>
          <w:szCs w:val="20"/>
          <w:lang w:val="es-ES_tradnl" w:eastAsia="es-ES"/>
        </w:rPr>
        <w:t>Teniendo como fin:</w:t>
      </w:r>
    </w:p>
    <w:p w14:paraId="72EA5FF5" w14:textId="77777777" w:rsidR="00E3134D" w:rsidRDefault="00AC3CE8" w:rsidP="003955D8">
      <w:pPr>
        <w:pStyle w:val="Prrafodelista"/>
        <w:numPr>
          <w:ilvl w:val="0"/>
          <w:numId w:val="39"/>
        </w:numPr>
        <w:spacing w:after="0" w:line="259" w:lineRule="auto"/>
        <w:jc w:val="both"/>
        <w:rPr>
          <w:rFonts w:ascii="Arial" w:eastAsia="Times New Roman" w:hAnsi="Arial" w:cs="Arial"/>
          <w:sz w:val="20"/>
          <w:szCs w:val="20"/>
          <w:lang w:val="es-ES_tradnl" w:eastAsia="es-ES"/>
        </w:rPr>
      </w:pPr>
      <w:r w:rsidRPr="00E3134D">
        <w:rPr>
          <w:rFonts w:ascii="Arial" w:eastAsia="Times New Roman" w:hAnsi="Arial" w:cs="Arial"/>
          <w:sz w:val="20"/>
          <w:szCs w:val="20"/>
          <w:lang w:val="es-ES_tradnl" w:eastAsia="es-ES"/>
        </w:rPr>
        <w:t>Garantizar el cumplimiento de las obligaciones.</w:t>
      </w:r>
    </w:p>
    <w:p w14:paraId="7B655883" w14:textId="77777777" w:rsidR="00E3134D" w:rsidRDefault="00AC3CE8" w:rsidP="003955D8">
      <w:pPr>
        <w:pStyle w:val="Prrafodelista"/>
        <w:numPr>
          <w:ilvl w:val="0"/>
          <w:numId w:val="39"/>
        </w:numPr>
        <w:spacing w:after="0" w:line="259" w:lineRule="auto"/>
        <w:jc w:val="both"/>
        <w:rPr>
          <w:rFonts w:ascii="Arial" w:eastAsia="Times New Roman" w:hAnsi="Arial" w:cs="Arial"/>
          <w:sz w:val="20"/>
          <w:szCs w:val="20"/>
          <w:lang w:val="es-ES_tradnl" w:eastAsia="es-ES"/>
        </w:rPr>
      </w:pPr>
      <w:r w:rsidRPr="00E3134D">
        <w:rPr>
          <w:rFonts w:ascii="Arial" w:eastAsia="Times New Roman" w:hAnsi="Arial" w:cs="Arial"/>
          <w:sz w:val="20"/>
          <w:szCs w:val="20"/>
          <w:lang w:val="es-ES_tradnl" w:eastAsia="es-ES"/>
        </w:rPr>
        <w:t>Evitar problemas de liquidez de la entidad.</w:t>
      </w:r>
    </w:p>
    <w:p w14:paraId="78AE2893" w14:textId="77777777" w:rsidR="00E3134D" w:rsidRDefault="00AC3CE8" w:rsidP="003955D8">
      <w:pPr>
        <w:pStyle w:val="Prrafodelista"/>
        <w:numPr>
          <w:ilvl w:val="0"/>
          <w:numId w:val="39"/>
        </w:numPr>
        <w:spacing w:after="0" w:line="259" w:lineRule="auto"/>
        <w:jc w:val="both"/>
        <w:rPr>
          <w:rFonts w:ascii="Arial" w:eastAsia="Times New Roman" w:hAnsi="Arial" w:cs="Arial"/>
          <w:sz w:val="20"/>
          <w:szCs w:val="20"/>
          <w:lang w:val="es-ES_tradnl" w:eastAsia="es-ES"/>
        </w:rPr>
      </w:pPr>
      <w:r w:rsidRPr="00E3134D">
        <w:rPr>
          <w:rFonts w:ascii="Arial" w:eastAsia="Times New Roman" w:hAnsi="Arial" w:cs="Arial"/>
          <w:sz w:val="20"/>
          <w:szCs w:val="20"/>
          <w:lang w:val="es-ES_tradnl" w:eastAsia="es-ES"/>
        </w:rPr>
        <w:t>Programación óptima de los recursos.</w:t>
      </w:r>
    </w:p>
    <w:p w14:paraId="1683BF03" w14:textId="20C6761E" w:rsidR="00AC3CE8" w:rsidRPr="00E3134D" w:rsidRDefault="00AC3CE8" w:rsidP="003955D8">
      <w:pPr>
        <w:pStyle w:val="Prrafodelista"/>
        <w:numPr>
          <w:ilvl w:val="0"/>
          <w:numId w:val="39"/>
        </w:numPr>
        <w:spacing w:after="0" w:line="259" w:lineRule="auto"/>
        <w:jc w:val="both"/>
        <w:rPr>
          <w:rFonts w:ascii="Arial" w:eastAsia="Times New Roman" w:hAnsi="Arial" w:cs="Arial"/>
          <w:sz w:val="20"/>
          <w:szCs w:val="20"/>
          <w:lang w:val="es-ES_tradnl" w:eastAsia="es-ES"/>
        </w:rPr>
      </w:pPr>
      <w:r w:rsidRPr="00E3134D">
        <w:rPr>
          <w:rFonts w:ascii="Arial" w:eastAsia="Times New Roman" w:hAnsi="Arial" w:cs="Arial"/>
          <w:sz w:val="20"/>
          <w:szCs w:val="20"/>
          <w:lang w:val="es-ES_tradnl" w:eastAsia="es-ES"/>
        </w:rPr>
        <w:t xml:space="preserve">Administración adecuada de la ejecución presupuestal. </w:t>
      </w:r>
    </w:p>
    <w:p w14:paraId="5BB6C300" w14:textId="1BCFD53D" w:rsidR="00CD72E8" w:rsidRPr="00954A9C" w:rsidRDefault="00AC3CE8" w:rsidP="00E3134D">
      <w:pPr>
        <w:spacing w:after="0" w:line="259" w:lineRule="auto"/>
        <w:jc w:val="both"/>
        <w:rPr>
          <w:rFonts w:ascii="Arial" w:eastAsia="Times New Roman" w:hAnsi="Arial" w:cs="Arial"/>
          <w:sz w:val="20"/>
          <w:szCs w:val="20"/>
          <w:lang w:eastAsia="es-ES"/>
        </w:rPr>
      </w:pPr>
      <w:r w:rsidRPr="00AC3CE8">
        <w:rPr>
          <w:rFonts w:ascii="Arial" w:eastAsia="Times New Roman" w:hAnsi="Arial" w:cs="Arial"/>
          <w:sz w:val="20"/>
          <w:szCs w:val="20"/>
          <w:lang w:eastAsia="es-ES"/>
        </w:rPr>
        <w:lastRenderedPageBreak/>
        <w:t>La importancia de una buena planeación, proyección y control del PAC permite a la entidad una correcta toma de decisiones en la utilización de los recursos, y así generar a tiempo acciones correctivas y preventivas para la ejecución y utilización de este.</w:t>
      </w:r>
    </w:p>
    <w:p w14:paraId="0D63BA49" w14:textId="77777777" w:rsidR="00CD72E8" w:rsidRDefault="00CD72E8" w:rsidP="00E3134D">
      <w:pPr>
        <w:spacing w:after="0" w:line="259" w:lineRule="auto"/>
        <w:jc w:val="both"/>
        <w:rPr>
          <w:rFonts w:ascii="Arial" w:eastAsia="Times New Roman" w:hAnsi="Arial" w:cs="Arial"/>
          <w:b/>
          <w:sz w:val="20"/>
          <w:szCs w:val="20"/>
          <w:lang w:eastAsia="es-ES"/>
        </w:rPr>
      </w:pPr>
    </w:p>
    <w:p w14:paraId="50F77FA2" w14:textId="46845F40" w:rsidR="008E0CB2" w:rsidRDefault="00AC3CE8" w:rsidP="00E3134D">
      <w:pPr>
        <w:spacing w:after="0" w:line="259" w:lineRule="auto"/>
        <w:jc w:val="both"/>
        <w:rPr>
          <w:rFonts w:ascii="Arial" w:eastAsia="Times New Roman" w:hAnsi="Arial" w:cs="Arial"/>
          <w:sz w:val="20"/>
          <w:szCs w:val="20"/>
          <w:lang w:eastAsia="es-ES"/>
        </w:rPr>
      </w:pPr>
      <w:r w:rsidRPr="00AC3CE8">
        <w:rPr>
          <w:rFonts w:ascii="Arial" w:eastAsia="Times New Roman" w:hAnsi="Arial" w:cs="Arial"/>
          <w:b/>
          <w:sz w:val="20"/>
          <w:szCs w:val="20"/>
          <w:lang w:eastAsia="es-ES"/>
        </w:rPr>
        <w:t>INDICADOR DE PAC NO UTILIZADO - INPANUT:</w:t>
      </w:r>
    </w:p>
    <w:p w14:paraId="5269A7B1" w14:textId="77777777" w:rsidR="00603402" w:rsidRDefault="00603402" w:rsidP="00E3134D">
      <w:pPr>
        <w:spacing w:after="0" w:line="259" w:lineRule="auto"/>
        <w:jc w:val="both"/>
        <w:rPr>
          <w:rFonts w:ascii="Arial" w:eastAsia="Times New Roman" w:hAnsi="Arial" w:cs="Arial"/>
          <w:sz w:val="20"/>
          <w:szCs w:val="20"/>
          <w:lang w:eastAsia="es-ES"/>
        </w:rPr>
      </w:pPr>
    </w:p>
    <w:p w14:paraId="3DC5A243" w14:textId="422A7093" w:rsidR="004056EA" w:rsidRDefault="007538DC" w:rsidP="00E3134D">
      <w:pPr>
        <w:spacing w:after="0" w:line="259" w:lineRule="auto"/>
        <w:jc w:val="both"/>
        <w:rPr>
          <w:rFonts w:ascii="Arial" w:eastAsia="Times New Roman" w:hAnsi="Arial" w:cs="Arial"/>
          <w:sz w:val="20"/>
          <w:szCs w:val="20"/>
          <w:lang w:eastAsia="es-ES"/>
        </w:rPr>
      </w:pPr>
      <w:r>
        <w:rPr>
          <w:rFonts w:ascii="Arial" w:eastAsia="Times New Roman" w:hAnsi="Arial" w:cs="Arial"/>
          <w:sz w:val="20"/>
          <w:szCs w:val="20"/>
          <w:lang w:eastAsia="es-ES"/>
        </w:rPr>
        <w:t xml:space="preserve">El indicador de PAC </w:t>
      </w:r>
      <w:r w:rsidR="00AC3CE8" w:rsidRPr="00AC3CE8">
        <w:rPr>
          <w:rFonts w:ascii="Arial" w:eastAsia="Times New Roman" w:hAnsi="Arial" w:cs="Arial"/>
          <w:sz w:val="20"/>
          <w:szCs w:val="20"/>
          <w:lang w:eastAsia="es-ES"/>
        </w:rPr>
        <w:t xml:space="preserve">no utilizado, herramienta que mide el resultado, analiza y evalúa la ejecución del PAC, lo cual conlleva a la toma de decisión y acciones a la mejora de la utilización de los recursos asignados. </w:t>
      </w:r>
    </w:p>
    <w:p w14:paraId="6E4E7161" w14:textId="77777777" w:rsidR="007538DC" w:rsidRDefault="007538DC" w:rsidP="00E3134D">
      <w:pPr>
        <w:spacing w:after="0" w:line="259" w:lineRule="auto"/>
        <w:jc w:val="both"/>
        <w:rPr>
          <w:rFonts w:ascii="Arial" w:eastAsia="Times New Roman" w:hAnsi="Arial" w:cs="Arial"/>
          <w:sz w:val="20"/>
          <w:szCs w:val="20"/>
          <w:lang w:eastAsia="es-ES"/>
        </w:rPr>
      </w:pPr>
    </w:p>
    <w:p w14:paraId="63242200" w14:textId="24166245" w:rsidR="00AC3CE8" w:rsidRDefault="00E73075" w:rsidP="00E3134D">
      <w:pPr>
        <w:spacing w:after="0" w:line="259" w:lineRule="auto"/>
        <w:jc w:val="both"/>
        <w:rPr>
          <w:rFonts w:ascii="Arial" w:eastAsia="Times New Roman" w:hAnsi="Arial" w:cs="Arial"/>
          <w:sz w:val="20"/>
          <w:szCs w:val="20"/>
          <w:lang w:eastAsia="es-ES"/>
        </w:rPr>
      </w:pPr>
      <w:r>
        <w:rPr>
          <w:rFonts w:ascii="Arial" w:eastAsia="Times New Roman" w:hAnsi="Arial" w:cs="Arial"/>
          <w:sz w:val="20"/>
          <w:szCs w:val="20"/>
          <w:lang w:eastAsia="es-ES"/>
        </w:rPr>
        <w:t>Así</w:t>
      </w:r>
      <w:r w:rsidR="001B1BF9">
        <w:rPr>
          <w:rFonts w:ascii="Arial" w:eastAsia="Times New Roman" w:hAnsi="Arial" w:cs="Arial"/>
          <w:sz w:val="20"/>
          <w:szCs w:val="20"/>
          <w:lang w:eastAsia="es-ES"/>
        </w:rPr>
        <w:t xml:space="preserve"> mismo el Ministerio de Hacienda</w:t>
      </w:r>
      <w:r>
        <w:rPr>
          <w:rFonts w:ascii="Arial" w:eastAsia="Times New Roman" w:hAnsi="Arial" w:cs="Arial"/>
          <w:sz w:val="20"/>
          <w:szCs w:val="20"/>
          <w:lang w:eastAsia="es-ES"/>
        </w:rPr>
        <w:t xml:space="preserve"> ha establecido porcentajes admisibles de no ejecución</w:t>
      </w:r>
      <w:r w:rsidR="004056EA">
        <w:rPr>
          <w:rFonts w:ascii="Arial" w:eastAsia="Times New Roman" w:hAnsi="Arial" w:cs="Arial"/>
          <w:sz w:val="20"/>
          <w:szCs w:val="20"/>
          <w:lang w:eastAsia="es-ES"/>
        </w:rPr>
        <w:t xml:space="preserve"> por cada objeto de gasto de la siguiente manera: Gasto de personal y Transferencias Corrientes 5% y Gastos Generales e Inversión</w:t>
      </w:r>
      <w:r w:rsidR="001B1BF9">
        <w:rPr>
          <w:rFonts w:ascii="Arial" w:eastAsia="Times New Roman" w:hAnsi="Arial" w:cs="Arial"/>
          <w:sz w:val="20"/>
          <w:szCs w:val="20"/>
          <w:lang w:eastAsia="es-ES"/>
        </w:rPr>
        <w:t xml:space="preserve"> 10%; </w:t>
      </w:r>
      <w:r w:rsidR="004056EA">
        <w:rPr>
          <w:rFonts w:ascii="Arial" w:eastAsia="Times New Roman" w:hAnsi="Arial" w:cs="Arial"/>
          <w:sz w:val="20"/>
          <w:szCs w:val="20"/>
          <w:lang w:eastAsia="es-ES"/>
        </w:rPr>
        <w:t xml:space="preserve">porcentaje de referencia el cual </w:t>
      </w:r>
      <w:r w:rsidR="00295CE6">
        <w:rPr>
          <w:rFonts w:ascii="Arial" w:eastAsia="Times New Roman" w:hAnsi="Arial" w:cs="Arial"/>
          <w:sz w:val="20"/>
          <w:szCs w:val="20"/>
          <w:lang w:eastAsia="es-ES"/>
        </w:rPr>
        <w:t>es verificado</w:t>
      </w:r>
      <w:r>
        <w:rPr>
          <w:rFonts w:ascii="Arial" w:eastAsia="Times New Roman" w:hAnsi="Arial" w:cs="Arial"/>
          <w:sz w:val="20"/>
          <w:szCs w:val="20"/>
          <w:lang w:eastAsia="es-ES"/>
        </w:rPr>
        <w:t xml:space="preserve"> con los indicadores </w:t>
      </w:r>
      <w:r w:rsidR="004056EA">
        <w:rPr>
          <w:rFonts w:ascii="Arial" w:eastAsia="Times New Roman" w:hAnsi="Arial" w:cs="Arial"/>
          <w:sz w:val="20"/>
          <w:szCs w:val="20"/>
          <w:lang w:eastAsia="es-ES"/>
        </w:rPr>
        <w:t>que tiene cada entidad.</w:t>
      </w:r>
    </w:p>
    <w:p w14:paraId="52608428" w14:textId="77777777" w:rsidR="007538DC" w:rsidRPr="00AC3CE8" w:rsidRDefault="007538DC" w:rsidP="00E3134D">
      <w:pPr>
        <w:spacing w:after="0" w:line="259" w:lineRule="auto"/>
        <w:jc w:val="both"/>
        <w:rPr>
          <w:rFonts w:ascii="Arial" w:eastAsia="Times New Roman" w:hAnsi="Arial" w:cs="Arial"/>
          <w:sz w:val="20"/>
          <w:szCs w:val="20"/>
          <w:lang w:eastAsia="es-ES"/>
        </w:rPr>
      </w:pPr>
    </w:p>
    <w:p w14:paraId="7C39418C" w14:textId="3A428BF0" w:rsidR="00AC3CE8" w:rsidRPr="00AC3CE8" w:rsidRDefault="00AC3CE8" w:rsidP="00E3134D">
      <w:pPr>
        <w:spacing w:after="0" w:line="259" w:lineRule="auto"/>
        <w:jc w:val="both"/>
        <w:rPr>
          <w:rFonts w:ascii="Arial" w:eastAsia="Times New Roman" w:hAnsi="Arial" w:cs="Arial"/>
          <w:sz w:val="20"/>
          <w:szCs w:val="20"/>
          <w:lang w:eastAsia="es-ES"/>
        </w:rPr>
      </w:pPr>
      <w:r w:rsidRPr="00AC3CE8">
        <w:rPr>
          <w:rFonts w:ascii="Arial" w:eastAsia="Times New Roman" w:hAnsi="Arial" w:cs="Arial"/>
          <w:sz w:val="20"/>
          <w:szCs w:val="20"/>
          <w:lang w:eastAsia="es-ES"/>
        </w:rPr>
        <w:t>De acuerdo con la información remitida por el Grupo de Gestión Financiera y los reporte</w:t>
      </w:r>
      <w:r w:rsidR="001B1BF9">
        <w:rPr>
          <w:rFonts w:ascii="Arial" w:eastAsia="Times New Roman" w:hAnsi="Arial" w:cs="Arial"/>
          <w:sz w:val="20"/>
          <w:szCs w:val="20"/>
          <w:lang w:eastAsia="es-ES"/>
        </w:rPr>
        <w:t>s</w:t>
      </w:r>
      <w:r w:rsidRPr="00AC3CE8">
        <w:rPr>
          <w:rFonts w:ascii="Arial" w:eastAsia="Times New Roman" w:hAnsi="Arial" w:cs="Arial"/>
          <w:sz w:val="20"/>
          <w:szCs w:val="20"/>
          <w:lang w:eastAsia="es-ES"/>
        </w:rPr>
        <w:t xml:space="preserve"> que se manejan del SIIF, se genera </w:t>
      </w:r>
      <w:r w:rsidR="004056EA">
        <w:rPr>
          <w:rFonts w:ascii="Arial" w:eastAsia="Times New Roman" w:hAnsi="Arial" w:cs="Arial"/>
          <w:sz w:val="20"/>
          <w:szCs w:val="20"/>
          <w:lang w:eastAsia="es-ES"/>
        </w:rPr>
        <w:t>el reporte</w:t>
      </w:r>
      <w:r w:rsidRPr="00AC3CE8">
        <w:rPr>
          <w:rFonts w:ascii="Arial" w:eastAsia="Times New Roman" w:hAnsi="Arial" w:cs="Arial"/>
          <w:sz w:val="20"/>
          <w:szCs w:val="20"/>
          <w:lang w:eastAsia="es-ES"/>
        </w:rPr>
        <w:t xml:space="preserve"> INPANUT que se presenta de enero a junio del 2018: </w:t>
      </w:r>
    </w:p>
    <w:p w14:paraId="3B94991C" w14:textId="77777777" w:rsidR="00AC3CE8" w:rsidRPr="00AC3CE8" w:rsidRDefault="00AC3CE8" w:rsidP="00AC3CE8">
      <w:pPr>
        <w:spacing w:after="0" w:line="259" w:lineRule="auto"/>
        <w:ind w:left="851"/>
        <w:jc w:val="both"/>
        <w:rPr>
          <w:rFonts w:ascii="Arial" w:eastAsia="Times New Roman" w:hAnsi="Arial" w:cs="Arial"/>
          <w:sz w:val="20"/>
          <w:szCs w:val="20"/>
          <w:lang w:eastAsia="es-ES"/>
        </w:rPr>
      </w:pPr>
    </w:p>
    <w:p w14:paraId="4EC2ADC0" w14:textId="5634345F" w:rsidR="00AC3CE8" w:rsidRPr="00AC3CE8" w:rsidRDefault="006A73AE" w:rsidP="006A73AE">
      <w:pPr>
        <w:spacing w:after="0"/>
        <w:ind w:firstLine="708"/>
        <w:contextualSpacing/>
        <w:jc w:val="center"/>
        <w:rPr>
          <w:rFonts w:ascii="Arial" w:eastAsia="Times New Roman" w:hAnsi="Arial" w:cs="Arial"/>
          <w:color w:val="C00000"/>
          <w:sz w:val="20"/>
          <w:szCs w:val="20"/>
          <w:lang w:eastAsia="es-ES"/>
        </w:rPr>
      </w:pPr>
      <w:r w:rsidRPr="006A73AE">
        <w:rPr>
          <w:noProof/>
        </w:rPr>
        <w:drawing>
          <wp:inline distT="0" distB="0" distL="0" distR="0" wp14:anchorId="630F3ACE" wp14:editId="4933759F">
            <wp:extent cx="4838700" cy="1504950"/>
            <wp:effectExtent l="0" t="0" r="0"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838700" cy="1504950"/>
                    </a:xfrm>
                    <a:prstGeom prst="rect">
                      <a:avLst/>
                    </a:prstGeom>
                    <a:noFill/>
                    <a:ln>
                      <a:noFill/>
                    </a:ln>
                  </pic:spPr>
                </pic:pic>
              </a:graphicData>
            </a:graphic>
          </wp:inline>
        </w:drawing>
      </w:r>
    </w:p>
    <w:p w14:paraId="56452E47" w14:textId="77777777" w:rsidR="006A73AE" w:rsidRDefault="004D028B" w:rsidP="004D028B">
      <w:pPr>
        <w:tabs>
          <w:tab w:val="left" w:pos="910"/>
        </w:tabs>
        <w:spacing w:after="0" w:line="259" w:lineRule="auto"/>
        <w:rPr>
          <w:rFonts w:ascii="Arial" w:eastAsia="Times New Roman" w:hAnsi="Arial" w:cs="Arial"/>
          <w:sz w:val="10"/>
          <w:szCs w:val="20"/>
          <w:lang w:eastAsia="es-ES"/>
        </w:rPr>
      </w:pPr>
      <w:r>
        <w:rPr>
          <w:rFonts w:ascii="Arial" w:eastAsia="Times New Roman" w:hAnsi="Arial" w:cs="Arial"/>
          <w:sz w:val="10"/>
          <w:szCs w:val="20"/>
          <w:lang w:eastAsia="es-ES"/>
        </w:rPr>
        <w:t xml:space="preserve">           </w:t>
      </w:r>
      <w:r w:rsidR="008E0CB2">
        <w:rPr>
          <w:rFonts w:ascii="Arial" w:eastAsia="Times New Roman" w:hAnsi="Arial" w:cs="Arial"/>
          <w:sz w:val="10"/>
          <w:szCs w:val="20"/>
          <w:lang w:eastAsia="es-ES"/>
        </w:rPr>
        <w:t xml:space="preserve">           </w:t>
      </w:r>
      <w:r w:rsidR="00603402">
        <w:rPr>
          <w:rFonts w:ascii="Arial" w:eastAsia="Times New Roman" w:hAnsi="Arial" w:cs="Arial"/>
          <w:sz w:val="10"/>
          <w:szCs w:val="20"/>
          <w:lang w:eastAsia="es-ES"/>
        </w:rPr>
        <w:t xml:space="preserve">       </w:t>
      </w:r>
      <w:r w:rsidR="00CB7B63">
        <w:rPr>
          <w:rFonts w:ascii="Arial" w:eastAsia="Times New Roman" w:hAnsi="Arial" w:cs="Arial"/>
          <w:sz w:val="10"/>
          <w:szCs w:val="20"/>
          <w:lang w:eastAsia="es-ES"/>
        </w:rPr>
        <w:t xml:space="preserve">     </w:t>
      </w:r>
      <w:r w:rsidRPr="004D028B">
        <w:rPr>
          <w:rFonts w:ascii="Arial" w:eastAsia="Times New Roman" w:hAnsi="Arial" w:cs="Arial"/>
          <w:sz w:val="10"/>
          <w:szCs w:val="20"/>
          <w:lang w:eastAsia="es-ES"/>
        </w:rPr>
        <w:t xml:space="preserve">Fuente: </w:t>
      </w:r>
      <w:r>
        <w:rPr>
          <w:rFonts w:ascii="Arial" w:eastAsia="Times New Roman" w:hAnsi="Arial" w:cs="Arial"/>
          <w:sz w:val="10"/>
          <w:szCs w:val="20"/>
          <w:lang w:eastAsia="es-ES"/>
        </w:rPr>
        <w:t xml:space="preserve">Consulta PAC No Utilizado Enero a </w:t>
      </w:r>
      <w:proofErr w:type="gramStart"/>
      <w:r>
        <w:rPr>
          <w:rFonts w:ascii="Arial" w:eastAsia="Times New Roman" w:hAnsi="Arial" w:cs="Arial"/>
          <w:sz w:val="10"/>
          <w:szCs w:val="20"/>
          <w:lang w:eastAsia="es-ES"/>
        </w:rPr>
        <w:t>Junio</w:t>
      </w:r>
      <w:proofErr w:type="gramEnd"/>
      <w:r>
        <w:rPr>
          <w:rFonts w:ascii="Arial" w:eastAsia="Times New Roman" w:hAnsi="Arial" w:cs="Arial"/>
          <w:sz w:val="10"/>
          <w:szCs w:val="20"/>
          <w:lang w:eastAsia="es-ES"/>
        </w:rPr>
        <w:t xml:space="preserve"> 2018 SIIF</w:t>
      </w:r>
    </w:p>
    <w:p w14:paraId="1D906BC7" w14:textId="339AD75F" w:rsidR="004D028B" w:rsidRDefault="004D028B" w:rsidP="004D028B">
      <w:pPr>
        <w:tabs>
          <w:tab w:val="left" w:pos="910"/>
        </w:tabs>
        <w:spacing w:after="0" w:line="259" w:lineRule="auto"/>
        <w:rPr>
          <w:rFonts w:ascii="Arial" w:eastAsia="Times New Roman" w:hAnsi="Arial" w:cs="Arial"/>
          <w:sz w:val="10"/>
          <w:szCs w:val="20"/>
          <w:lang w:eastAsia="es-ES"/>
        </w:rPr>
      </w:pPr>
      <w:r w:rsidRPr="004D028B">
        <w:rPr>
          <w:rFonts w:ascii="Arial" w:eastAsia="Times New Roman" w:hAnsi="Arial" w:cs="Arial"/>
          <w:sz w:val="10"/>
          <w:szCs w:val="20"/>
          <w:lang w:eastAsia="es-ES"/>
        </w:rPr>
        <w:t xml:space="preserve"> </w:t>
      </w:r>
    </w:p>
    <w:p w14:paraId="0CDB84F9" w14:textId="70E4B8B5" w:rsidR="00C30114" w:rsidRDefault="0098677D" w:rsidP="00083EE1">
      <w:pPr>
        <w:tabs>
          <w:tab w:val="left" w:pos="910"/>
        </w:tabs>
        <w:spacing w:after="0" w:line="259" w:lineRule="auto"/>
        <w:jc w:val="center"/>
        <w:rPr>
          <w:rFonts w:ascii="Arial" w:eastAsia="Times New Roman" w:hAnsi="Arial" w:cs="Arial"/>
          <w:sz w:val="10"/>
          <w:szCs w:val="20"/>
          <w:lang w:eastAsia="es-ES"/>
        </w:rPr>
      </w:pPr>
      <w:r>
        <w:rPr>
          <w:rFonts w:ascii="Arial" w:eastAsia="Times New Roman" w:hAnsi="Arial" w:cs="Arial"/>
          <w:noProof/>
          <w:sz w:val="10"/>
          <w:szCs w:val="20"/>
          <w:lang w:eastAsia="es-ES"/>
        </w:rPr>
        <w:drawing>
          <wp:inline distT="0" distB="0" distL="0" distR="0" wp14:anchorId="7A86DE46" wp14:editId="48C60CC5">
            <wp:extent cx="4441215" cy="2647950"/>
            <wp:effectExtent l="0" t="0" r="0" b="0"/>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444433" cy="2649869"/>
                    </a:xfrm>
                    <a:prstGeom prst="rect">
                      <a:avLst/>
                    </a:prstGeom>
                    <a:noFill/>
                  </pic:spPr>
                </pic:pic>
              </a:graphicData>
            </a:graphic>
          </wp:inline>
        </w:drawing>
      </w:r>
    </w:p>
    <w:p w14:paraId="373FDA94" w14:textId="7C1C41EC" w:rsidR="0098677D" w:rsidRDefault="0098677D" w:rsidP="004D028B">
      <w:pPr>
        <w:tabs>
          <w:tab w:val="left" w:pos="910"/>
        </w:tabs>
        <w:spacing w:after="0" w:line="259" w:lineRule="auto"/>
        <w:rPr>
          <w:rFonts w:ascii="Arial" w:eastAsia="Times New Roman" w:hAnsi="Arial" w:cs="Arial"/>
          <w:sz w:val="10"/>
          <w:szCs w:val="20"/>
          <w:lang w:eastAsia="es-ES"/>
        </w:rPr>
      </w:pPr>
      <w:r>
        <w:rPr>
          <w:rFonts w:ascii="Arial" w:eastAsia="Times New Roman" w:hAnsi="Arial" w:cs="Arial"/>
          <w:sz w:val="10"/>
          <w:szCs w:val="20"/>
          <w:lang w:eastAsia="es-ES"/>
        </w:rPr>
        <w:tab/>
      </w:r>
      <w:bookmarkStart w:id="4" w:name="_Hlk531591511"/>
      <w:r>
        <w:rPr>
          <w:rFonts w:ascii="Arial" w:eastAsia="Times New Roman" w:hAnsi="Arial" w:cs="Arial"/>
          <w:sz w:val="10"/>
          <w:szCs w:val="20"/>
          <w:lang w:eastAsia="es-ES"/>
        </w:rPr>
        <w:t>Fuente: Propia</w:t>
      </w:r>
      <w:bookmarkEnd w:id="4"/>
    </w:p>
    <w:p w14:paraId="741DDE21" w14:textId="50666F5A" w:rsidR="0098677D" w:rsidRDefault="0098677D" w:rsidP="0098677D">
      <w:pPr>
        <w:tabs>
          <w:tab w:val="left" w:pos="910"/>
        </w:tabs>
        <w:spacing w:after="0" w:line="259" w:lineRule="auto"/>
        <w:ind w:left="910"/>
        <w:rPr>
          <w:rFonts w:ascii="Arial" w:eastAsia="Times New Roman" w:hAnsi="Arial" w:cs="Arial"/>
          <w:sz w:val="10"/>
          <w:szCs w:val="20"/>
          <w:lang w:eastAsia="es-ES"/>
        </w:rPr>
      </w:pPr>
      <w:r>
        <w:rPr>
          <w:rFonts w:ascii="Arial" w:eastAsia="Times New Roman" w:hAnsi="Arial" w:cs="Arial"/>
          <w:noProof/>
          <w:sz w:val="10"/>
          <w:szCs w:val="20"/>
          <w:lang w:eastAsia="es-ES"/>
        </w:rPr>
        <w:lastRenderedPageBreak/>
        <w:drawing>
          <wp:inline distT="0" distB="0" distL="0" distR="0" wp14:anchorId="1633B0E0" wp14:editId="0FE47F84">
            <wp:extent cx="4524375" cy="2457450"/>
            <wp:effectExtent l="0" t="0" r="9525" b="0"/>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524375" cy="2457450"/>
                    </a:xfrm>
                    <a:prstGeom prst="rect">
                      <a:avLst/>
                    </a:prstGeom>
                    <a:noFill/>
                  </pic:spPr>
                </pic:pic>
              </a:graphicData>
            </a:graphic>
          </wp:inline>
        </w:drawing>
      </w:r>
    </w:p>
    <w:p w14:paraId="693E7345" w14:textId="77777777" w:rsidR="0098677D" w:rsidRDefault="006A73AE" w:rsidP="004D028B">
      <w:pPr>
        <w:tabs>
          <w:tab w:val="left" w:pos="910"/>
        </w:tabs>
        <w:spacing w:after="0" w:line="259" w:lineRule="auto"/>
        <w:rPr>
          <w:rFonts w:ascii="Arial" w:eastAsia="Times New Roman" w:hAnsi="Arial" w:cs="Arial"/>
          <w:sz w:val="10"/>
          <w:szCs w:val="20"/>
          <w:lang w:eastAsia="es-ES"/>
        </w:rPr>
      </w:pPr>
      <w:r>
        <w:rPr>
          <w:rFonts w:ascii="Arial" w:eastAsia="Times New Roman" w:hAnsi="Arial" w:cs="Arial"/>
          <w:sz w:val="10"/>
          <w:szCs w:val="20"/>
          <w:lang w:eastAsia="es-ES"/>
        </w:rPr>
        <w:tab/>
      </w:r>
      <w:r w:rsidR="0098677D">
        <w:rPr>
          <w:rFonts w:ascii="Arial" w:eastAsia="Times New Roman" w:hAnsi="Arial" w:cs="Arial"/>
          <w:sz w:val="10"/>
          <w:szCs w:val="20"/>
          <w:lang w:eastAsia="es-ES"/>
        </w:rPr>
        <w:t>Fuente: Propia</w:t>
      </w:r>
    </w:p>
    <w:p w14:paraId="4C753272" w14:textId="77777777" w:rsidR="00083EE1" w:rsidRDefault="002F6BE3" w:rsidP="002F6BE3">
      <w:pPr>
        <w:tabs>
          <w:tab w:val="left" w:pos="910"/>
        </w:tabs>
        <w:spacing w:after="0" w:line="259" w:lineRule="auto"/>
        <w:ind w:left="910"/>
        <w:rPr>
          <w:rFonts w:ascii="Arial" w:eastAsia="Times New Roman" w:hAnsi="Arial" w:cs="Arial"/>
          <w:sz w:val="10"/>
          <w:szCs w:val="20"/>
          <w:lang w:eastAsia="es-ES"/>
        </w:rPr>
      </w:pPr>
      <w:r>
        <w:rPr>
          <w:rFonts w:ascii="Arial" w:eastAsia="Times New Roman" w:hAnsi="Arial" w:cs="Arial"/>
          <w:noProof/>
          <w:sz w:val="10"/>
          <w:szCs w:val="20"/>
          <w:lang w:eastAsia="es-ES"/>
        </w:rPr>
        <w:drawing>
          <wp:inline distT="0" distB="0" distL="0" distR="0" wp14:anchorId="30344B41" wp14:editId="4F2BCBDF">
            <wp:extent cx="4524375" cy="2743200"/>
            <wp:effectExtent l="0" t="0" r="9525" b="0"/>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524375" cy="2743200"/>
                    </a:xfrm>
                    <a:prstGeom prst="rect">
                      <a:avLst/>
                    </a:prstGeom>
                    <a:noFill/>
                  </pic:spPr>
                </pic:pic>
              </a:graphicData>
            </a:graphic>
          </wp:inline>
        </w:drawing>
      </w:r>
    </w:p>
    <w:p w14:paraId="0D674A26" w14:textId="5E3904AC" w:rsidR="006A73AE" w:rsidRDefault="002F6BE3" w:rsidP="002F6BE3">
      <w:pPr>
        <w:tabs>
          <w:tab w:val="left" w:pos="910"/>
        </w:tabs>
        <w:spacing w:after="0" w:line="259" w:lineRule="auto"/>
        <w:ind w:left="910"/>
        <w:rPr>
          <w:rFonts w:ascii="Arial" w:eastAsia="Times New Roman" w:hAnsi="Arial" w:cs="Arial"/>
          <w:sz w:val="10"/>
          <w:szCs w:val="20"/>
          <w:lang w:eastAsia="es-ES"/>
        </w:rPr>
      </w:pPr>
      <w:r>
        <w:rPr>
          <w:rFonts w:ascii="Arial" w:eastAsia="Times New Roman" w:hAnsi="Arial" w:cs="Arial"/>
          <w:sz w:val="10"/>
          <w:szCs w:val="20"/>
          <w:lang w:eastAsia="es-ES"/>
        </w:rPr>
        <w:t>Fuente: Propia</w:t>
      </w:r>
    </w:p>
    <w:p w14:paraId="75C0995B" w14:textId="09B80D24" w:rsidR="002B6FAD" w:rsidRDefault="002B6FAD" w:rsidP="002F6BE3">
      <w:pPr>
        <w:tabs>
          <w:tab w:val="left" w:pos="910"/>
        </w:tabs>
        <w:spacing w:after="0" w:line="259" w:lineRule="auto"/>
        <w:ind w:left="910"/>
        <w:rPr>
          <w:rFonts w:ascii="Arial" w:eastAsia="Times New Roman" w:hAnsi="Arial" w:cs="Arial"/>
          <w:sz w:val="10"/>
          <w:szCs w:val="20"/>
          <w:lang w:eastAsia="es-ES"/>
        </w:rPr>
      </w:pPr>
      <w:r>
        <w:rPr>
          <w:noProof/>
        </w:rPr>
        <w:drawing>
          <wp:inline distT="0" distB="0" distL="0" distR="0" wp14:anchorId="2B35F02B" wp14:editId="0F3453EA">
            <wp:extent cx="4524375" cy="2247900"/>
            <wp:effectExtent l="0" t="0" r="9525" b="0"/>
            <wp:docPr id="67" name="Gráfico 67">
              <a:extLst xmlns:a="http://schemas.openxmlformats.org/drawingml/2006/main">
                <a:ext uri="{FF2B5EF4-FFF2-40B4-BE49-F238E27FC236}">
                  <a16:creationId xmlns:a16="http://schemas.microsoft.com/office/drawing/2014/main" id="{E19B9FF7-E146-4940-8DB1-841B3716C2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14:paraId="651D5A7B" w14:textId="77777777" w:rsidR="002B6FAD" w:rsidRDefault="002B6FAD" w:rsidP="002B6FAD">
      <w:pPr>
        <w:tabs>
          <w:tab w:val="left" w:pos="910"/>
        </w:tabs>
        <w:spacing w:after="0" w:line="259" w:lineRule="auto"/>
        <w:ind w:left="910"/>
        <w:rPr>
          <w:rFonts w:ascii="Arial" w:eastAsia="Times New Roman" w:hAnsi="Arial" w:cs="Arial"/>
          <w:sz w:val="10"/>
          <w:szCs w:val="20"/>
          <w:lang w:eastAsia="es-ES"/>
        </w:rPr>
      </w:pPr>
      <w:r>
        <w:rPr>
          <w:rFonts w:ascii="Arial" w:eastAsia="Times New Roman" w:hAnsi="Arial" w:cs="Arial"/>
          <w:sz w:val="10"/>
          <w:szCs w:val="20"/>
          <w:lang w:eastAsia="es-ES"/>
        </w:rPr>
        <w:t>Fuente: Propia</w:t>
      </w:r>
    </w:p>
    <w:p w14:paraId="2BA5CB6E" w14:textId="7693FE14" w:rsidR="002F6BE3" w:rsidRDefault="002F6BE3" w:rsidP="002F6BE3">
      <w:pPr>
        <w:tabs>
          <w:tab w:val="left" w:pos="910"/>
        </w:tabs>
        <w:spacing w:after="0" w:line="259" w:lineRule="auto"/>
        <w:ind w:left="910"/>
        <w:rPr>
          <w:rFonts w:ascii="Arial" w:eastAsia="Times New Roman" w:hAnsi="Arial" w:cs="Arial"/>
          <w:sz w:val="10"/>
          <w:szCs w:val="20"/>
          <w:lang w:eastAsia="es-ES"/>
        </w:rPr>
      </w:pPr>
      <w:r>
        <w:rPr>
          <w:rFonts w:ascii="Arial" w:eastAsia="Times New Roman" w:hAnsi="Arial" w:cs="Arial"/>
          <w:noProof/>
          <w:sz w:val="10"/>
          <w:szCs w:val="20"/>
          <w:lang w:eastAsia="es-ES"/>
        </w:rPr>
        <w:lastRenderedPageBreak/>
        <w:drawing>
          <wp:inline distT="0" distB="0" distL="0" distR="0" wp14:anchorId="7B7DC0C4" wp14:editId="79E0406F">
            <wp:extent cx="4657725" cy="2228850"/>
            <wp:effectExtent l="0" t="0" r="9525" b="0"/>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657725" cy="2228850"/>
                    </a:xfrm>
                    <a:prstGeom prst="rect">
                      <a:avLst/>
                    </a:prstGeom>
                    <a:noFill/>
                  </pic:spPr>
                </pic:pic>
              </a:graphicData>
            </a:graphic>
          </wp:inline>
        </w:drawing>
      </w:r>
    </w:p>
    <w:p w14:paraId="06F95480" w14:textId="77777777" w:rsidR="002F6BE3" w:rsidRDefault="002F6BE3" w:rsidP="002F6BE3">
      <w:pPr>
        <w:tabs>
          <w:tab w:val="left" w:pos="910"/>
        </w:tabs>
        <w:spacing w:after="0" w:line="259" w:lineRule="auto"/>
        <w:ind w:left="910"/>
        <w:rPr>
          <w:rFonts w:ascii="Arial" w:eastAsia="Times New Roman" w:hAnsi="Arial" w:cs="Arial"/>
          <w:sz w:val="10"/>
          <w:szCs w:val="20"/>
          <w:lang w:eastAsia="es-ES"/>
        </w:rPr>
      </w:pPr>
      <w:r>
        <w:rPr>
          <w:rFonts w:ascii="Arial" w:eastAsia="Times New Roman" w:hAnsi="Arial" w:cs="Arial"/>
          <w:sz w:val="10"/>
          <w:szCs w:val="20"/>
          <w:lang w:eastAsia="es-ES"/>
        </w:rPr>
        <w:t>Fuente: Propia</w:t>
      </w:r>
    </w:p>
    <w:p w14:paraId="6DBF6DB3" w14:textId="77777777" w:rsidR="002F6BE3" w:rsidRPr="004D028B" w:rsidRDefault="002F6BE3" w:rsidP="004D028B">
      <w:pPr>
        <w:tabs>
          <w:tab w:val="left" w:pos="910"/>
        </w:tabs>
        <w:spacing w:after="0" w:line="259" w:lineRule="auto"/>
        <w:rPr>
          <w:rFonts w:ascii="Arial" w:eastAsia="Times New Roman" w:hAnsi="Arial" w:cs="Arial"/>
          <w:sz w:val="10"/>
          <w:szCs w:val="20"/>
          <w:lang w:eastAsia="es-ES"/>
        </w:rPr>
      </w:pPr>
    </w:p>
    <w:p w14:paraId="60D08942" w14:textId="3BB96413" w:rsidR="001B1BF9" w:rsidRDefault="00B73747" w:rsidP="00B73747">
      <w:pPr>
        <w:tabs>
          <w:tab w:val="left" w:pos="910"/>
        </w:tabs>
        <w:spacing w:after="0" w:line="259" w:lineRule="auto"/>
        <w:rPr>
          <w:rFonts w:ascii="Arial" w:eastAsia="Times New Roman" w:hAnsi="Arial" w:cs="Arial"/>
          <w:sz w:val="10"/>
          <w:szCs w:val="20"/>
          <w:lang w:eastAsia="es-ES"/>
        </w:rPr>
      </w:pPr>
      <w:r>
        <w:rPr>
          <w:rFonts w:ascii="Arial" w:eastAsia="Times New Roman" w:hAnsi="Arial" w:cs="Arial"/>
          <w:sz w:val="10"/>
          <w:szCs w:val="20"/>
          <w:lang w:eastAsia="es-ES"/>
        </w:rPr>
        <w:t xml:space="preserve">                         </w:t>
      </w:r>
    </w:p>
    <w:p w14:paraId="71CE900F" w14:textId="77777777" w:rsidR="00CD72E8" w:rsidRDefault="00477F3C" w:rsidP="001F1E77">
      <w:pPr>
        <w:tabs>
          <w:tab w:val="left" w:pos="910"/>
        </w:tabs>
        <w:spacing w:after="0" w:line="259" w:lineRule="auto"/>
        <w:jc w:val="both"/>
        <w:rPr>
          <w:rFonts w:ascii="Arial" w:eastAsia="Calibri" w:hAnsi="Arial" w:cs="Arial"/>
          <w:i/>
          <w:sz w:val="18"/>
          <w:szCs w:val="18"/>
          <w:lang w:val="es-CO" w:eastAsia="es-ES"/>
        </w:rPr>
      </w:pPr>
      <w:r>
        <w:rPr>
          <w:rFonts w:ascii="Arial" w:eastAsia="Calibri" w:hAnsi="Arial" w:cs="Arial"/>
          <w:sz w:val="20"/>
          <w:szCs w:val="20"/>
          <w:lang w:val="es-CO" w:eastAsia="es-ES"/>
        </w:rPr>
        <w:t>De acuerdo con el artí</w:t>
      </w:r>
      <w:r w:rsidR="007538DC">
        <w:rPr>
          <w:rFonts w:ascii="Arial" w:eastAsia="Calibri" w:hAnsi="Arial" w:cs="Arial"/>
          <w:sz w:val="20"/>
          <w:szCs w:val="20"/>
          <w:lang w:val="es-CO" w:eastAsia="es-ES"/>
        </w:rPr>
        <w:t>culo 28 del decreto 568 de 1996,</w:t>
      </w:r>
      <w:r w:rsidR="002D4F16">
        <w:rPr>
          <w:rFonts w:ascii="Arial" w:eastAsia="Calibri" w:hAnsi="Arial" w:cs="Arial"/>
          <w:sz w:val="20"/>
          <w:szCs w:val="20"/>
          <w:lang w:val="es-CO" w:eastAsia="es-ES"/>
        </w:rPr>
        <w:t xml:space="preserve"> donde indica que “</w:t>
      </w:r>
      <w:r w:rsidR="002D4F16" w:rsidRPr="009816E3">
        <w:rPr>
          <w:rFonts w:ascii="Arial" w:eastAsia="Calibri" w:hAnsi="Arial" w:cs="Arial"/>
          <w:i/>
          <w:sz w:val="18"/>
          <w:szCs w:val="20"/>
          <w:lang w:val="es-CO" w:eastAsia="es-ES"/>
        </w:rPr>
        <w:t>La Dirección del Tesoro Nacional expedirá un Manual de Tesorería en el cual se establezcan las directrices y parámetros necesarios para la administración del PAC. Igualmente, comunicará a cada órgano los parámetros y lineamientos necesarios para la mensualización de los pagos</w:t>
      </w:r>
      <w:r w:rsidR="00295CE6">
        <w:rPr>
          <w:rFonts w:ascii="Arial" w:eastAsia="Calibri" w:hAnsi="Arial" w:cs="Arial"/>
          <w:sz w:val="20"/>
          <w:szCs w:val="20"/>
          <w:lang w:val="es-CO" w:eastAsia="es-ES"/>
        </w:rPr>
        <w:t>”;</w:t>
      </w:r>
      <w:r w:rsidR="002D4F16">
        <w:rPr>
          <w:rFonts w:ascii="Arial" w:eastAsia="Calibri" w:hAnsi="Arial" w:cs="Arial"/>
          <w:sz w:val="20"/>
          <w:szCs w:val="20"/>
          <w:lang w:val="es-CO" w:eastAsia="es-ES"/>
        </w:rPr>
        <w:t xml:space="preserve"> a partir del Manual </w:t>
      </w:r>
      <w:r w:rsidR="00290B92">
        <w:rPr>
          <w:rFonts w:ascii="Arial" w:eastAsia="Calibri" w:hAnsi="Arial" w:cs="Arial"/>
          <w:sz w:val="20"/>
          <w:szCs w:val="20"/>
          <w:lang w:val="es-CO" w:eastAsia="es-ES"/>
        </w:rPr>
        <w:t xml:space="preserve">PAC </w:t>
      </w:r>
      <w:r w:rsidR="00290B92" w:rsidRPr="00290B92">
        <w:rPr>
          <w:rFonts w:ascii="Arial" w:eastAsia="Calibri" w:hAnsi="Arial" w:cs="Arial"/>
          <w:sz w:val="20"/>
          <w:szCs w:val="20"/>
          <w:lang w:val="es-CO" w:eastAsia="es-ES"/>
        </w:rPr>
        <w:t xml:space="preserve">Recursos Nación </w:t>
      </w:r>
      <w:r w:rsidR="00685F51">
        <w:rPr>
          <w:rFonts w:ascii="Arial" w:eastAsia="Calibri" w:hAnsi="Arial" w:cs="Arial"/>
          <w:sz w:val="20"/>
          <w:szCs w:val="20"/>
          <w:lang w:val="es-CO" w:eastAsia="es-ES"/>
        </w:rPr>
        <w:t>CSF y</w:t>
      </w:r>
      <w:r w:rsidR="00290B92" w:rsidRPr="00290B92">
        <w:rPr>
          <w:rFonts w:ascii="Arial" w:eastAsia="Calibri" w:hAnsi="Arial" w:cs="Arial"/>
          <w:sz w:val="20"/>
          <w:szCs w:val="20"/>
          <w:lang w:val="es-CO" w:eastAsia="es-ES"/>
        </w:rPr>
        <w:t xml:space="preserve"> SSF </w:t>
      </w:r>
      <w:r w:rsidR="002D4F16">
        <w:rPr>
          <w:rFonts w:ascii="Arial" w:eastAsia="Calibri" w:hAnsi="Arial" w:cs="Arial"/>
          <w:sz w:val="20"/>
          <w:szCs w:val="20"/>
          <w:lang w:val="es-CO" w:eastAsia="es-ES"/>
        </w:rPr>
        <w:t xml:space="preserve">establecido </w:t>
      </w:r>
      <w:r w:rsidR="00290B92">
        <w:rPr>
          <w:rFonts w:ascii="Arial" w:eastAsia="Calibri" w:hAnsi="Arial" w:cs="Arial"/>
          <w:sz w:val="20"/>
          <w:szCs w:val="20"/>
          <w:lang w:val="es-CO" w:eastAsia="es-ES"/>
        </w:rPr>
        <w:t xml:space="preserve">por el </w:t>
      </w:r>
      <w:r w:rsidR="00290B92" w:rsidRPr="00290B92">
        <w:rPr>
          <w:rFonts w:ascii="Arial" w:eastAsia="Calibri" w:hAnsi="Arial" w:cs="Arial"/>
          <w:sz w:val="20"/>
          <w:szCs w:val="20"/>
          <w:lang w:val="es-CO" w:eastAsia="es-ES"/>
        </w:rPr>
        <w:t>Ministeri</w:t>
      </w:r>
      <w:r w:rsidR="00290B92">
        <w:rPr>
          <w:rFonts w:ascii="Arial" w:eastAsia="Calibri" w:hAnsi="Arial" w:cs="Arial"/>
          <w:sz w:val="20"/>
          <w:szCs w:val="20"/>
          <w:lang w:val="es-CO" w:eastAsia="es-ES"/>
        </w:rPr>
        <w:t xml:space="preserve">o de Hacienda y Crédito Público - </w:t>
      </w:r>
      <w:r w:rsidR="00290B92" w:rsidRPr="00290B92">
        <w:rPr>
          <w:rFonts w:ascii="Arial" w:eastAsia="Calibri" w:hAnsi="Arial" w:cs="Arial"/>
          <w:sz w:val="20"/>
          <w:szCs w:val="20"/>
          <w:lang w:val="es-CO" w:eastAsia="es-ES"/>
        </w:rPr>
        <w:t>DIRECCIÓN GENERAL DE CRÉDITO PÚBLICO Y TESORO NACIONAL</w:t>
      </w:r>
      <w:r w:rsidR="00290B92">
        <w:rPr>
          <w:rFonts w:ascii="Arial" w:eastAsia="Calibri" w:hAnsi="Arial" w:cs="Arial"/>
          <w:sz w:val="20"/>
          <w:szCs w:val="20"/>
          <w:lang w:val="es-CO" w:eastAsia="es-ES"/>
        </w:rPr>
        <w:t xml:space="preserve">, </w:t>
      </w:r>
      <w:r w:rsidR="001F1E77">
        <w:rPr>
          <w:rFonts w:ascii="Arial" w:eastAsia="Calibri" w:hAnsi="Arial" w:cs="Arial"/>
          <w:sz w:val="20"/>
          <w:szCs w:val="20"/>
          <w:lang w:val="es-CO" w:eastAsia="es-ES"/>
        </w:rPr>
        <w:t xml:space="preserve">establece en lo referente al INPANUT: </w:t>
      </w:r>
      <w:r w:rsidR="001F1E77" w:rsidRPr="00491F69">
        <w:rPr>
          <w:rFonts w:ascii="Arial" w:eastAsia="Calibri" w:hAnsi="Arial" w:cs="Arial"/>
          <w:sz w:val="18"/>
          <w:szCs w:val="18"/>
          <w:lang w:val="es-CO" w:eastAsia="es-ES"/>
        </w:rPr>
        <w:t>“</w:t>
      </w:r>
      <w:r w:rsidR="001F1E77" w:rsidRPr="00491F69">
        <w:rPr>
          <w:rFonts w:ascii="Arial" w:eastAsia="Calibri" w:hAnsi="Arial" w:cs="Arial"/>
          <w:i/>
          <w:sz w:val="18"/>
          <w:szCs w:val="18"/>
          <w:lang w:val="es-CO" w:eastAsia="es-ES"/>
        </w:rPr>
        <w:t xml:space="preserve">Políticas a aplicar: La DGCPTN revisa el comportamiento del indicador a nivel agregado por objeto de gasto y vigencia, definiendo un límite máximo admisible </w:t>
      </w:r>
      <w:proofErr w:type="spellStart"/>
      <w:r w:rsidR="001F1E77" w:rsidRPr="00491F69">
        <w:rPr>
          <w:rFonts w:ascii="Arial" w:eastAsia="Calibri" w:hAnsi="Arial" w:cs="Arial"/>
          <w:i/>
          <w:sz w:val="18"/>
          <w:szCs w:val="18"/>
          <w:lang w:val="es-CO" w:eastAsia="es-ES"/>
        </w:rPr>
        <w:t>de</w:t>
      </w:r>
      <w:proofErr w:type="spellEnd"/>
      <w:r w:rsidR="001F1E77" w:rsidRPr="00491F69">
        <w:rPr>
          <w:rFonts w:ascii="Arial" w:eastAsia="Calibri" w:hAnsi="Arial" w:cs="Arial"/>
          <w:i/>
          <w:sz w:val="18"/>
          <w:szCs w:val="18"/>
          <w:lang w:val="es-CO" w:eastAsia="es-ES"/>
        </w:rPr>
        <w:t xml:space="preserve"> % PAC no utilizado, comparando el desempeño de cada entidad con el parámetro definido al efecto. En consecuencia, la DGCPTN podrá implementar una o varias de las siguientes políticas:</w:t>
      </w:r>
    </w:p>
    <w:p w14:paraId="7ED947CA" w14:textId="77777777" w:rsidR="00CD72E8" w:rsidRDefault="00CD72E8" w:rsidP="001F1E77">
      <w:pPr>
        <w:tabs>
          <w:tab w:val="left" w:pos="910"/>
        </w:tabs>
        <w:spacing w:after="0" w:line="259" w:lineRule="auto"/>
        <w:jc w:val="both"/>
        <w:rPr>
          <w:rFonts w:ascii="Arial" w:eastAsia="Calibri" w:hAnsi="Arial" w:cs="Arial"/>
          <w:i/>
          <w:sz w:val="18"/>
          <w:szCs w:val="18"/>
          <w:lang w:val="es-CO" w:eastAsia="es-ES"/>
        </w:rPr>
      </w:pPr>
    </w:p>
    <w:p w14:paraId="23A2DE20" w14:textId="25F20CB8" w:rsidR="001F1E77" w:rsidRPr="00491F69" w:rsidRDefault="001F1E77" w:rsidP="001F1E77">
      <w:pPr>
        <w:tabs>
          <w:tab w:val="left" w:pos="910"/>
        </w:tabs>
        <w:spacing w:after="0" w:line="259" w:lineRule="auto"/>
        <w:jc w:val="both"/>
        <w:rPr>
          <w:rFonts w:ascii="Arial" w:eastAsia="Calibri" w:hAnsi="Arial" w:cs="Arial"/>
          <w:i/>
          <w:sz w:val="18"/>
          <w:szCs w:val="18"/>
          <w:lang w:val="es-CO" w:eastAsia="es-ES"/>
        </w:rPr>
      </w:pPr>
      <w:r w:rsidRPr="00491F69">
        <w:rPr>
          <w:rFonts w:ascii="Arial" w:eastAsia="Calibri" w:hAnsi="Arial" w:cs="Arial"/>
          <w:i/>
          <w:sz w:val="18"/>
          <w:szCs w:val="18"/>
          <w:lang w:val="es-CO" w:eastAsia="es-ES"/>
        </w:rPr>
        <w:t xml:space="preserve"> </w:t>
      </w:r>
      <w:r w:rsidR="00CD72E8">
        <w:rPr>
          <w:rFonts w:ascii="Arial" w:eastAsia="Calibri" w:hAnsi="Arial" w:cs="Arial"/>
          <w:i/>
          <w:sz w:val="18"/>
          <w:szCs w:val="18"/>
          <w:lang w:val="es-CO" w:eastAsia="es-ES"/>
        </w:rPr>
        <w:t>-</w:t>
      </w:r>
      <w:r w:rsidRPr="00491F69">
        <w:rPr>
          <w:rFonts w:ascii="Arial" w:eastAsia="Calibri" w:hAnsi="Arial" w:cs="Arial"/>
          <w:i/>
          <w:sz w:val="18"/>
          <w:szCs w:val="18"/>
          <w:lang w:val="es-CO" w:eastAsia="es-ES"/>
        </w:rPr>
        <w:t>Podrá reducir el equivalente al % de PAC no utilizado del valor máximo aprobable a la entidad.</w:t>
      </w:r>
    </w:p>
    <w:p w14:paraId="6733E3C6" w14:textId="3583CC35" w:rsidR="001F1E77" w:rsidRPr="00491F69" w:rsidRDefault="001F1E77" w:rsidP="001F1E77">
      <w:pPr>
        <w:tabs>
          <w:tab w:val="left" w:pos="910"/>
        </w:tabs>
        <w:spacing w:after="0" w:line="259" w:lineRule="auto"/>
        <w:jc w:val="both"/>
        <w:rPr>
          <w:rFonts w:ascii="Arial" w:eastAsia="Calibri" w:hAnsi="Arial" w:cs="Arial"/>
          <w:i/>
          <w:sz w:val="18"/>
          <w:szCs w:val="18"/>
          <w:lang w:val="es-CO" w:eastAsia="es-ES"/>
        </w:rPr>
      </w:pPr>
      <w:r w:rsidRPr="00491F69">
        <w:rPr>
          <w:rFonts w:ascii="Arial" w:eastAsia="Calibri" w:hAnsi="Arial" w:cs="Arial"/>
          <w:i/>
          <w:sz w:val="18"/>
          <w:szCs w:val="18"/>
          <w:lang w:val="es-CO" w:eastAsia="es-ES"/>
        </w:rPr>
        <w:t>-No aprobar la asignación de recursos considerando que la entidad ha superado el % promedio del INPANUT.</w:t>
      </w:r>
    </w:p>
    <w:p w14:paraId="014C4E17" w14:textId="1C3DE5BF" w:rsidR="001F1E77" w:rsidRPr="00491F69" w:rsidRDefault="001F1E77" w:rsidP="001F1E77">
      <w:pPr>
        <w:tabs>
          <w:tab w:val="left" w:pos="910"/>
        </w:tabs>
        <w:spacing w:after="0" w:line="259" w:lineRule="auto"/>
        <w:jc w:val="both"/>
        <w:rPr>
          <w:rFonts w:ascii="Arial" w:eastAsia="Calibri" w:hAnsi="Arial" w:cs="Arial"/>
          <w:i/>
          <w:sz w:val="18"/>
          <w:szCs w:val="18"/>
          <w:lang w:val="es-CO" w:eastAsia="es-ES"/>
        </w:rPr>
      </w:pPr>
      <w:r w:rsidRPr="00491F69">
        <w:rPr>
          <w:rFonts w:ascii="Arial" w:eastAsia="Calibri" w:hAnsi="Arial" w:cs="Arial"/>
          <w:i/>
          <w:sz w:val="18"/>
          <w:szCs w:val="18"/>
          <w:lang w:val="es-CO" w:eastAsia="es-ES"/>
        </w:rPr>
        <w:t>-Dar prioridad en la asignación de recursos a aquellas unidades ejecutoras que demuestren ejecución adecuada de los recursos asignados.</w:t>
      </w:r>
    </w:p>
    <w:p w14:paraId="6118D6C9" w14:textId="0DA397B9" w:rsidR="001F1E77" w:rsidRPr="00491F69" w:rsidRDefault="001F1E77" w:rsidP="001F1E77">
      <w:pPr>
        <w:tabs>
          <w:tab w:val="left" w:pos="910"/>
        </w:tabs>
        <w:spacing w:after="0" w:line="259" w:lineRule="auto"/>
        <w:jc w:val="both"/>
        <w:rPr>
          <w:rFonts w:ascii="Arial" w:eastAsia="Calibri" w:hAnsi="Arial" w:cs="Arial"/>
          <w:i/>
          <w:sz w:val="18"/>
          <w:szCs w:val="18"/>
          <w:lang w:val="es-CO" w:eastAsia="es-ES"/>
        </w:rPr>
      </w:pPr>
      <w:r w:rsidRPr="00491F69">
        <w:rPr>
          <w:rFonts w:ascii="Arial" w:eastAsia="Calibri" w:hAnsi="Arial" w:cs="Arial"/>
          <w:i/>
          <w:sz w:val="18"/>
          <w:szCs w:val="18"/>
          <w:lang w:val="es-CO" w:eastAsia="es-ES"/>
        </w:rPr>
        <w:t>-Dar prioridad a aquellas unidades ejecutoras con indicadores eficientes de ejecución, cuando se originen nuevos recursos disponibles de PAC.</w:t>
      </w:r>
    </w:p>
    <w:p w14:paraId="23014804" w14:textId="13261C2D" w:rsidR="00491F69" w:rsidRPr="00491F69" w:rsidRDefault="001F1E77" w:rsidP="00D72416">
      <w:pPr>
        <w:tabs>
          <w:tab w:val="left" w:pos="910"/>
        </w:tabs>
        <w:spacing w:after="0" w:line="259" w:lineRule="auto"/>
        <w:jc w:val="both"/>
        <w:rPr>
          <w:rFonts w:ascii="Arial" w:eastAsia="Calibri" w:hAnsi="Arial" w:cs="Arial"/>
          <w:i/>
          <w:sz w:val="18"/>
          <w:szCs w:val="18"/>
          <w:lang w:val="es-CO" w:eastAsia="es-ES"/>
        </w:rPr>
      </w:pPr>
      <w:r w:rsidRPr="00491F69">
        <w:rPr>
          <w:rFonts w:ascii="Arial" w:eastAsia="Calibri" w:hAnsi="Arial" w:cs="Arial"/>
          <w:i/>
          <w:sz w:val="18"/>
          <w:szCs w:val="18"/>
          <w:lang w:val="es-CO" w:eastAsia="es-ES"/>
        </w:rPr>
        <w:t>-No tener en cuenta para reuniones extraordinarias de Análisis de PAC, las solicitudes de aquellas unidades ejecutoras que por su mala ejecución reflejada a través del INPANUT, hayan sido negadas en la reunión mensual ordinaria.”</w:t>
      </w:r>
    </w:p>
    <w:p w14:paraId="38139F8C" w14:textId="77777777" w:rsidR="00491F69" w:rsidRPr="001F1E77" w:rsidRDefault="00491F69" w:rsidP="00D72416">
      <w:pPr>
        <w:tabs>
          <w:tab w:val="left" w:pos="910"/>
        </w:tabs>
        <w:spacing w:after="0" w:line="259" w:lineRule="auto"/>
        <w:jc w:val="both"/>
        <w:rPr>
          <w:rFonts w:ascii="Arial" w:eastAsia="Calibri" w:hAnsi="Arial" w:cs="Arial"/>
          <w:i/>
          <w:sz w:val="18"/>
          <w:szCs w:val="18"/>
          <w:lang w:val="es-CO" w:eastAsia="es-ES"/>
        </w:rPr>
      </w:pPr>
    </w:p>
    <w:p w14:paraId="0722419A" w14:textId="3F1947CE" w:rsidR="00295CE6" w:rsidRPr="002D4F16" w:rsidRDefault="001F1E77" w:rsidP="00D72416">
      <w:pPr>
        <w:tabs>
          <w:tab w:val="left" w:pos="910"/>
        </w:tabs>
        <w:spacing w:after="0" w:line="259" w:lineRule="auto"/>
        <w:jc w:val="both"/>
        <w:rPr>
          <w:rFonts w:ascii="Arial" w:eastAsia="Calibri" w:hAnsi="Arial" w:cs="Arial"/>
          <w:sz w:val="20"/>
          <w:szCs w:val="20"/>
          <w:lang w:val="es-CO" w:eastAsia="es-ES"/>
        </w:rPr>
      </w:pPr>
      <w:r w:rsidRPr="00E45672">
        <w:rPr>
          <w:rFonts w:ascii="Arial" w:eastAsia="Calibri" w:hAnsi="Arial" w:cs="Arial"/>
          <w:sz w:val="20"/>
          <w:szCs w:val="20"/>
          <w:lang w:val="es-CO" w:eastAsia="es-ES"/>
        </w:rPr>
        <w:t>A partir del reporte y gráficas anteriores se observa que en varios meses se supera</w:t>
      </w:r>
      <w:r>
        <w:rPr>
          <w:rFonts w:ascii="Arial" w:eastAsia="Calibri" w:hAnsi="Arial" w:cs="Arial"/>
          <w:sz w:val="20"/>
          <w:szCs w:val="20"/>
          <w:lang w:val="es-CO" w:eastAsia="es-ES"/>
        </w:rPr>
        <w:t>n los</w:t>
      </w:r>
      <w:r w:rsidRPr="00E45672">
        <w:rPr>
          <w:rFonts w:ascii="Arial" w:eastAsia="Calibri" w:hAnsi="Arial" w:cs="Arial"/>
          <w:sz w:val="20"/>
          <w:szCs w:val="20"/>
          <w:lang w:val="es-CO" w:eastAsia="es-ES"/>
        </w:rPr>
        <w:t xml:space="preserve"> porcentaje</w:t>
      </w:r>
      <w:r>
        <w:rPr>
          <w:rFonts w:ascii="Arial" w:eastAsia="Calibri" w:hAnsi="Arial" w:cs="Arial"/>
          <w:sz w:val="20"/>
          <w:szCs w:val="20"/>
          <w:lang w:val="es-CO" w:eastAsia="es-ES"/>
        </w:rPr>
        <w:t xml:space="preserve">s </w:t>
      </w:r>
      <w:r w:rsidRPr="00E45672">
        <w:rPr>
          <w:rFonts w:ascii="Arial" w:eastAsia="Calibri" w:hAnsi="Arial" w:cs="Arial"/>
          <w:sz w:val="20"/>
          <w:szCs w:val="20"/>
          <w:lang w:val="es-CO" w:eastAsia="es-ES"/>
        </w:rPr>
        <w:t>admisible</w:t>
      </w:r>
      <w:r>
        <w:rPr>
          <w:rFonts w:ascii="Arial" w:eastAsia="Calibri" w:hAnsi="Arial" w:cs="Arial"/>
          <w:sz w:val="20"/>
          <w:szCs w:val="20"/>
          <w:lang w:val="es-CO" w:eastAsia="es-ES"/>
        </w:rPr>
        <w:t>s</w:t>
      </w:r>
      <w:r w:rsidRPr="00E45672">
        <w:rPr>
          <w:rFonts w:ascii="Arial" w:eastAsia="Calibri" w:hAnsi="Arial" w:cs="Arial"/>
          <w:sz w:val="20"/>
          <w:szCs w:val="20"/>
          <w:lang w:val="es-CO" w:eastAsia="es-ES"/>
        </w:rPr>
        <w:t xml:space="preserve"> </w:t>
      </w:r>
      <w:r>
        <w:rPr>
          <w:rFonts w:ascii="Arial" w:eastAsia="Calibri" w:hAnsi="Arial" w:cs="Arial"/>
          <w:sz w:val="20"/>
          <w:szCs w:val="20"/>
          <w:lang w:val="es-CO" w:eastAsia="es-ES"/>
        </w:rPr>
        <w:t xml:space="preserve">de los </w:t>
      </w:r>
      <w:r w:rsidRPr="00E45672">
        <w:rPr>
          <w:rFonts w:ascii="Arial" w:eastAsia="Calibri" w:hAnsi="Arial" w:cs="Arial"/>
          <w:sz w:val="20"/>
          <w:szCs w:val="20"/>
          <w:lang w:val="es-CO" w:eastAsia="es-ES"/>
        </w:rPr>
        <w:t>objeto</w:t>
      </w:r>
      <w:r>
        <w:rPr>
          <w:rFonts w:ascii="Arial" w:eastAsia="Calibri" w:hAnsi="Arial" w:cs="Arial"/>
          <w:sz w:val="20"/>
          <w:szCs w:val="20"/>
          <w:lang w:val="es-CO" w:eastAsia="es-ES"/>
        </w:rPr>
        <w:t>s</w:t>
      </w:r>
      <w:r w:rsidRPr="00E45672">
        <w:rPr>
          <w:rFonts w:ascii="Arial" w:eastAsia="Calibri" w:hAnsi="Arial" w:cs="Arial"/>
          <w:sz w:val="20"/>
          <w:szCs w:val="20"/>
          <w:lang w:val="es-CO" w:eastAsia="es-ES"/>
        </w:rPr>
        <w:t xml:space="preserve"> de</w:t>
      </w:r>
      <w:r>
        <w:rPr>
          <w:rFonts w:ascii="Arial" w:eastAsia="Calibri" w:hAnsi="Arial" w:cs="Arial"/>
          <w:sz w:val="20"/>
          <w:szCs w:val="20"/>
          <w:lang w:val="es-CO" w:eastAsia="es-ES"/>
        </w:rPr>
        <w:t xml:space="preserve"> los</w:t>
      </w:r>
      <w:r w:rsidRPr="00E45672">
        <w:rPr>
          <w:rFonts w:ascii="Arial" w:eastAsia="Calibri" w:hAnsi="Arial" w:cs="Arial"/>
          <w:sz w:val="20"/>
          <w:szCs w:val="20"/>
          <w:lang w:val="es-CO" w:eastAsia="es-ES"/>
        </w:rPr>
        <w:t xml:space="preserve"> gasto</w:t>
      </w:r>
      <w:r>
        <w:rPr>
          <w:rFonts w:ascii="Arial" w:eastAsia="Calibri" w:hAnsi="Arial" w:cs="Arial"/>
          <w:sz w:val="20"/>
          <w:szCs w:val="20"/>
          <w:lang w:val="es-CO" w:eastAsia="es-ES"/>
        </w:rPr>
        <w:t xml:space="preserve">s, </w:t>
      </w:r>
      <w:r w:rsidR="00295CE6">
        <w:rPr>
          <w:rFonts w:ascii="Arial" w:eastAsia="Calibri" w:hAnsi="Arial" w:cs="Arial"/>
          <w:sz w:val="20"/>
          <w:szCs w:val="20"/>
          <w:lang w:val="es-CO" w:eastAsia="es-ES"/>
        </w:rPr>
        <w:t>razón por la cual s</w:t>
      </w:r>
      <w:r>
        <w:rPr>
          <w:rFonts w:ascii="Arial" w:eastAsia="Calibri" w:hAnsi="Arial" w:cs="Arial"/>
          <w:sz w:val="20"/>
          <w:szCs w:val="20"/>
          <w:lang w:val="es-CO" w:eastAsia="es-ES"/>
        </w:rPr>
        <w:t xml:space="preserve">e recomienda tomar las acciones </w:t>
      </w:r>
      <w:r w:rsidR="00295CE6">
        <w:rPr>
          <w:rFonts w:ascii="Arial" w:eastAsia="Calibri" w:hAnsi="Arial" w:cs="Arial"/>
          <w:sz w:val="20"/>
          <w:szCs w:val="20"/>
          <w:lang w:val="es-CO" w:eastAsia="es-ES"/>
        </w:rPr>
        <w:t>pertinentes encaminadas al cumplimiento en la ejecución del PAC</w:t>
      </w:r>
      <w:r>
        <w:rPr>
          <w:rFonts w:ascii="Arial" w:eastAsia="Calibri" w:hAnsi="Arial" w:cs="Arial"/>
          <w:sz w:val="20"/>
          <w:szCs w:val="20"/>
          <w:lang w:val="es-CO" w:eastAsia="es-ES"/>
        </w:rPr>
        <w:t xml:space="preserve">, en aras de mejorar </w:t>
      </w:r>
      <w:r w:rsidR="00491F69">
        <w:rPr>
          <w:rFonts w:ascii="Arial" w:eastAsia="Calibri" w:hAnsi="Arial" w:cs="Arial"/>
          <w:sz w:val="20"/>
          <w:szCs w:val="20"/>
          <w:lang w:val="es-CO" w:eastAsia="es-ES"/>
        </w:rPr>
        <w:t xml:space="preserve">la gestión de la entidad y así evitar la aplicación de una o varias de las políticas antes mencionadas. </w:t>
      </w:r>
    </w:p>
    <w:p w14:paraId="256C61A0" w14:textId="16FA2F8F" w:rsidR="00CB7B63" w:rsidRDefault="00CB7B63" w:rsidP="00CB7B63">
      <w:pPr>
        <w:pStyle w:val="Prrafodelista"/>
        <w:ind w:left="705"/>
        <w:rPr>
          <w:rFonts w:ascii="Arial" w:eastAsia="Calibri" w:hAnsi="Arial" w:cs="Arial"/>
          <w:b/>
          <w:sz w:val="20"/>
          <w:szCs w:val="20"/>
          <w:lang w:val="es-CO" w:eastAsia="es-ES"/>
        </w:rPr>
      </w:pPr>
    </w:p>
    <w:p w14:paraId="1DF7A298" w14:textId="1277F95C" w:rsidR="00AC3CE8" w:rsidRPr="00AC3CE8" w:rsidRDefault="00AC3CE8" w:rsidP="00BF519D">
      <w:pPr>
        <w:pStyle w:val="Prrafodelista"/>
        <w:numPr>
          <w:ilvl w:val="1"/>
          <w:numId w:val="1"/>
        </w:numPr>
        <w:rPr>
          <w:rFonts w:ascii="Arial" w:eastAsia="Calibri" w:hAnsi="Arial" w:cs="Arial"/>
          <w:b/>
          <w:sz w:val="20"/>
          <w:szCs w:val="20"/>
          <w:lang w:val="es-CO" w:eastAsia="es-ES"/>
        </w:rPr>
      </w:pPr>
      <w:r w:rsidRPr="00AC3CE8">
        <w:rPr>
          <w:rFonts w:ascii="Arial" w:eastAsia="Calibri" w:hAnsi="Arial" w:cs="Arial"/>
          <w:b/>
          <w:sz w:val="20"/>
          <w:szCs w:val="20"/>
          <w:lang w:val="es-CO" w:eastAsia="es-ES"/>
        </w:rPr>
        <w:t>Proyección y Ejecución Primer Semestre 2018:</w:t>
      </w:r>
    </w:p>
    <w:p w14:paraId="40255C1D" w14:textId="77777777" w:rsidR="00AC3CE8" w:rsidRPr="00AC3CE8" w:rsidRDefault="00AC3CE8" w:rsidP="00CD72E8">
      <w:pPr>
        <w:spacing w:after="0" w:line="259" w:lineRule="auto"/>
        <w:jc w:val="both"/>
        <w:rPr>
          <w:rFonts w:ascii="Arial" w:eastAsia="Times New Roman" w:hAnsi="Arial" w:cs="Arial"/>
          <w:sz w:val="20"/>
          <w:szCs w:val="20"/>
          <w:lang w:eastAsia="es-ES"/>
        </w:rPr>
      </w:pPr>
      <w:r w:rsidRPr="00AC3CE8">
        <w:rPr>
          <w:rFonts w:ascii="Arial" w:eastAsia="Times New Roman" w:hAnsi="Arial" w:cs="Arial"/>
          <w:sz w:val="20"/>
          <w:szCs w:val="20"/>
          <w:lang w:eastAsia="es-ES"/>
        </w:rPr>
        <w:t xml:space="preserve">Para la elaboración de este tema el grupo auditor solicitó a la Oficina Asesora de Planeación las proyecciones realizadas a la ejecución presupuestal, en razón a que dicho requerimiento no fue suministrado por el Grupo de Gestión Financiera, quien indicó que no cuenta con esa información. </w:t>
      </w:r>
    </w:p>
    <w:p w14:paraId="744B9588" w14:textId="77777777" w:rsidR="00AC3CE8" w:rsidRPr="00AC3CE8" w:rsidRDefault="00AC3CE8" w:rsidP="00CD72E8">
      <w:pPr>
        <w:spacing w:after="0" w:line="259" w:lineRule="auto"/>
        <w:ind w:left="360"/>
        <w:jc w:val="both"/>
        <w:rPr>
          <w:rFonts w:ascii="Arial" w:eastAsia="Times New Roman" w:hAnsi="Arial" w:cs="Arial"/>
          <w:sz w:val="20"/>
          <w:szCs w:val="20"/>
          <w:lang w:eastAsia="es-ES"/>
        </w:rPr>
      </w:pPr>
    </w:p>
    <w:p w14:paraId="12B469CF" w14:textId="77777777" w:rsidR="00AC3CE8" w:rsidRPr="00AC3CE8" w:rsidRDefault="00AC3CE8" w:rsidP="00CD72E8">
      <w:pPr>
        <w:spacing w:after="0" w:line="259" w:lineRule="auto"/>
        <w:jc w:val="both"/>
        <w:rPr>
          <w:rFonts w:ascii="Arial" w:eastAsia="Times New Roman" w:hAnsi="Arial" w:cs="Arial"/>
          <w:sz w:val="20"/>
          <w:szCs w:val="20"/>
          <w:lang w:eastAsia="es-ES"/>
        </w:rPr>
      </w:pPr>
      <w:r w:rsidRPr="00AC3CE8">
        <w:rPr>
          <w:rFonts w:ascii="Arial" w:eastAsia="Times New Roman" w:hAnsi="Arial" w:cs="Arial"/>
          <w:sz w:val="20"/>
          <w:szCs w:val="20"/>
          <w:lang w:eastAsia="es-ES"/>
        </w:rPr>
        <w:t xml:space="preserve">De acuerdo con las proyecciones planteadas por la Oficina Asesora de Planeación y la ejecución correspondiente al primer semestre de 2018, se efectúa el análisis que se muestra a continuación: </w:t>
      </w:r>
    </w:p>
    <w:p w14:paraId="2E4BF727" w14:textId="77777777" w:rsidR="00AC3CE8" w:rsidRPr="00AC3CE8" w:rsidRDefault="00AC3CE8" w:rsidP="00AC3CE8">
      <w:pPr>
        <w:spacing w:after="0" w:line="259" w:lineRule="auto"/>
        <w:ind w:left="360"/>
        <w:jc w:val="both"/>
        <w:rPr>
          <w:rFonts w:ascii="Arial" w:eastAsia="Times New Roman" w:hAnsi="Arial" w:cs="Arial"/>
          <w:sz w:val="20"/>
          <w:szCs w:val="20"/>
          <w:lang w:eastAsia="es-ES"/>
        </w:rPr>
      </w:pPr>
    </w:p>
    <w:p w14:paraId="33555B8D" w14:textId="77777777" w:rsidR="00AC3CE8" w:rsidRPr="00AC3CE8" w:rsidRDefault="00AC3CE8" w:rsidP="00CD72E8">
      <w:pPr>
        <w:spacing w:after="0" w:line="259" w:lineRule="auto"/>
        <w:jc w:val="center"/>
        <w:rPr>
          <w:rFonts w:ascii="Arial" w:eastAsia="Times New Roman" w:hAnsi="Arial" w:cs="Arial"/>
          <w:sz w:val="20"/>
          <w:szCs w:val="20"/>
          <w:lang w:eastAsia="es-ES"/>
        </w:rPr>
      </w:pPr>
      <w:r w:rsidRPr="00AC3CE8">
        <w:rPr>
          <w:rFonts w:ascii="Arial" w:eastAsia="Times New Roman" w:hAnsi="Arial" w:cs="Arial"/>
          <w:noProof/>
          <w:sz w:val="20"/>
          <w:szCs w:val="20"/>
          <w:lang w:eastAsia="es-ES"/>
        </w:rPr>
        <w:lastRenderedPageBreak/>
        <w:drawing>
          <wp:inline distT="0" distB="0" distL="0" distR="0" wp14:anchorId="4CCEA1CC" wp14:editId="67DD4F91">
            <wp:extent cx="5591175" cy="2323230"/>
            <wp:effectExtent l="0" t="0" r="0" b="1270"/>
            <wp:docPr id="64"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682484" cy="2361171"/>
                    </a:xfrm>
                    <a:prstGeom prst="rect">
                      <a:avLst/>
                    </a:prstGeom>
                    <a:noFill/>
                  </pic:spPr>
                </pic:pic>
              </a:graphicData>
            </a:graphic>
          </wp:inline>
        </w:drawing>
      </w:r>
    </w:p>
    <w:p w14:paraId="6CA5F587" w14:textId="0D24A94F" w:rsidR="00A05B51" w:rsidRPr="004D028B" w:rsidRDefault="00A05B51" w:rsidP="00A05B51">
      <w:pPr>
        <w:tabs>
          <w:tab w:val="left" w:pos="910"/>
        </w:tabs>
        <w:spacing w:after="0" w:line="259" w:lineRule="auto"/>
        <w:rPr>
          <w:rFonts w:ascii="Arial" w:eastAsia="Times New Roman" w:hAnsi="Arial" w:cs="Arial"/>
          <w:sz w:val="10"/>
          <w:szCs w:val="20"/>
          <w:lang w:eastAsia="es-ES"/>
        </w:rPr>
      </w:pPr>
      <w:r>
        <w:rPr>
          <w:rFonts w:ascii="Arial" w:eastAsia="Times New Roman" w:hAnsi="Arial" w:cs="Arial"/>
          <w:sz w:val="10"/>
          <w:szCs w:val="20"/>
          <w:lang w:eastAsia="es-ES"/>
        </w:rPr>
        <w:t xml:space="preserve">   </w:t>
      </w:r>
      <w:r w:rsidR="00603402">
        <w:rPr>
          <w:rFonts w:ascii="Arial" w:eastAsia="Times New Roman" w:hAnsi="Arial" w:cs="Arial"/>
          <w:sz w:val="10"/>
          <w:szCs w:val="20"/>
          <w:lang w:eastAsia="es-ES"/>
        </w:rPr>
        <w:t xml:space="preserve">                            </w:t>
      </w:r>
      <w:r w:rsidRPr="004D028B">
        <w:rPr>
          <w:rFonts w:ascii="Arial" w:eastAsia="Times New Roman" w:hAnsi="Arial" w:cs="Arial"/>
          <w:sz w:val="10"/>
          <w:szCs w:val="20"/>
          <w:lang w:eastAsia="es-ES"/>
        </w:rPr>
        <w:t xml:space="preserve">Fuente: </w:t>
      </w:r>
      <w:r w:rsidR="00CB7B63">
        <w:rPr>
          <w:rFonts w:ascii="Arial" w:eastAsia="Times New Roman" w:hAnsi="Arial" w:cs="Arial"/>
          <w:sz w:val="10"/>
          <w:szCs w:val="20"/>
          <w:lang w:eastAsia="es-ES"/>
        </w:rPr>
        <w:t>P</w:t>
      </w:r>
      <w:r w:rsidR="00A9214C">
        <w:rPr>
          <w:rFonts w:ascii="Arial" w:eastAsia="Times New Roman" w:hAnsi="Arial" w:cs="Arial"/>
          <w:sz w:val="10"/>
          <w:szCs w:val="20"/>
          <w:lang w:eastAsia="es-ES"/>
        </w:rPr>
        <w:t>ropia</w:t>
      </w:r>
    </w:p>
    <w:p w14:paraId="53C872A8" w14:textId="49E9EECC" w:rsidR="00AC3CE8" w:rsidRDefault="00A05B51" w:rsidP="00603402">
      <w:pPr>
        <w:tabs>
          <w:tab w:val="left" w:pos="910"/>
        </w:tabs>
        <w:spacing w:after="0" w:line="259" w:lineRule="auto"/>
        <w:rPr>
          <w:rFonts w:ascii="Arial" w:eastAsia="Times New Roman" w:hAnsi="Arial" w:cs="Arial"/>
          <w:sz w:val="10"/>
          <w:szCs w:val="20"/>
          <w:lang w:eastAsia="es-ES"/>
        </w:rPr>
      </w:pPr>
      <w:r>
        <w:rPr>
          <w:rFonts w:ascii="Arial" w:eastAsia="Times New Roman" w:hAnsi="Arial" w:cs="Arial"/>
          <w:sz w:val="10"/>
          <w:szCs w:val="20"/>
          <w:lang w:eastAsia="es-ES"/>
        </w:rPr>
        <w:t xml:space="preserve">   </w:t>
      </w:r>
      <w:r w:rsidR="00603402">
        <w:rPr>
          <w:rFonts w:ascii="Arial" w:eastAsia="Times New Roman" w:hAnsi="Arial" w:cs="Arial"/>
          <w:sz w:val="10"/>
          <w:szCs w:val="20"/>
          <w:lang w:eastAsia="es-ES"/>
        </w:rPr>
        <w:t xml:space="preserve">                            </w:t>
      </w:r>
    </w:p>
    <w:p w14:paraId="6E51597C" w14:textId="2B5230FC" w:rsidR="00DA545B" w:rsidRDefault="00AF73A9" w:rsidP="0081226F">
      <w:pPr>
        <w:spacing w:after="0"/>
        <w:jc w:val="both"/>
        <w:rPr>
          <w:rFonts w:ascii="Arial" w:eastAsia="Calibri" w:hAnsi="Arial" w:cs="Arial"/>
          <w:sz w:val="20"/>
          <w:szCs w:val="20"/>
          <w:lang w:val="es-ES_tradnl" w:eastAsia="es-ES"/>
        </w:rPr>
      </w:pPr>
      <w:r w:rsidRPr="00603402">
        <w:rPr>
          <w:rFonts w:ascii="Arial" w:eastAsia="Calibri" w:hAnsi="Arial" w:cs="Arial"/>
          <w:sz w:val="20"/>
          <w:szCs w:val="20"/>
          <w:lang w:eastAsia="es-ES"/>
        </w:rPr>
        <w:t>A</w:t>
      </w:r>
      <w:r w:rsidRPr="00603402">
        <w:rPr>
          <w:rFonts w:ascii="Arial" w:eastAsia="Times New Roman" w:hAnsi="Arial" w:cs="Arial"/>
          <w:sz w:val="20"/>
          <w:szCs w:val="20"/>
          <w:lang w:val="es-ES_tradnl" w:eastAsia="es-ES"/>
        </w:rPr>
        <w:t xml:space="preserve"> pesar de que </w:t>
      </w:r>
      <w:r w:rsidR="00AC3CE8" w:rsidRPr="00603402">
        <w:rPr>
          <w:rFonts w:ascii="Arial" w:eastAsia="Times New Roman" w:hAnsi="Arial" w:cs="Arial"/>
          <w:sz w:val="20"/>
          <w:szCs w:val="20"/>
          <w:lang w:val="es-ES_tradnl" w:eastAsia="es-ES"/>
        </w:rPr>
        <w:t xml:space="preserve">la actividad de efectuar las proyecciones está a cargo de la Oficina Asesora de Planeación, </w:t>
      </w:r>
      <w:r w:rsidRPr="00603402">
        <w:rPr>
          <w:rFonts w:ascii="Arial" w:eastAsia="Times New Roman" w:hAnsi="Arial" w:cs="Arial"/>
          <w:sz w:val="20"/>
          <w:szCs w:val="20"/>
          <w:lang w:val="es-ES_tradnl" w:eastAsia="es-ES"/>
        </w:rPr>
        <w:t>según lo dispuesto en el literal d) y e) del artículo 2º de la Ley 87 de 1993, el</w:t>
      </w:r>
      <w:r w:rsidR="00AC3CE8" w:rsidRPr="00603402">
        <w:rPr>
          <w:rFonts w:ascii="Arial" w:eastAsia="Times New Roman" w:hAnsi="Arial" w:cs="Arial"/>
          <w:sz w:val="20"/>
          <w:szCs w:val="20"/>
          <w:lang w:val="es-ES_tradnl" w:eastAsia="es-ES"/>
        </w:rPr>
        <w:t xml:space="preserve"> Grupo de Gestión Financiera carece de conocimiento con relación al desarrollo y cumplimiento de los compromisos y obligaciones frente a las proyecciones establecidas para la vigencia. </w:t>
      </w:r>
      <w:r w:rsidR="00B77F6F" w:rsidRPr="00603402">
        <w:rPr>
          <w:rFonts w:ascii="Arial" w:eastAsia="Times New Roman" w:hAnsi="Arial" w:cs="Arial"/>
          <w:sz w:val="20"/>
          <w:szCs w:val="20"/>
          <w:lang w:val="es-ES_tradnl" w:eastAsia="es-ES"/>
        </w:rPr>
        <w:t xml:space="preserve">Esta situación </w:t>
      </w:r>
      <w:r w:rsidR="00AC3CE8" w:rsidRPr="00603402">
        <w:rPr>
          <w:rFonts w:ascii="Arial" w:eastAsia="Times New Roman" w:hAnsi="Arial" w:cs="Arial"/>
          <w:sz w:val="20"/>
          <w:szCs w:val="20"/>
          <w:lang w:val="es-ES_tradnl" w:eastAsia="es-ES"/>
        </w:rPr>
        <w:t xml:space="preserve">conlleva a </w:t>
      </w:r>
      <w:r w:rsidR="00B77F6F" w:rsidRPr="00603402">
        <w:rPr>
          <w:rFonts w:ascii="Arial" w:eastAsia="Times New Roman" w:hAnsi="Arial" w:cs="Arial"/>
          <w:sz w:val="20"/>
          <w:szCs w:val="20"/>
          <w:lang w:val="es-ES_tradnl" w:eastAsia="es-ES"/>
        </w:rPr>
        <w:t xml:space="preserve">que el sistema de control interno presente </w:t>
      </w:r>
      <w:r w:rsidR="00AC3CE8" w:rsidRPr="00603402">
        <w:rPr>
          <w:rFonts w:ascii="Arial" w:eastAsia="Times New Roman" w:hAnsi="Arial" w:cs="Arial"/>
          <w:sz w:val="20"/>
          <w:szCs w:val="20"/>
          <w:lang w:val="es-ES_tradnl" w:eastAsia="es-ES"/>
        </w:rPr>
        <w:t xml:space="preserve">debilidad </w:t>
      </w:r>
      <w:r w:rsidR="00B77F6F" w:rsidRPr="00603402">
        <w:rPr>
          <w:rFonts w:ascii="Arial" w:eastAsia="Times New Roman" w:hAnsi="Arial" w:cs="Arial"/>
          <w:sz w:val="20"/>
          <w:szCs w:val="20"/>
          <w:lang w:val="es-ES_tradnl" w:eastAsia="es-ES"/>
        </w:rPr>
        <w:t xml:space="preserve">en la evaluación, seguimiento, gestión y control organizacional, </w:t>
      </w:r>
      <w:r w:rsidR="00AC3CE8" w:rsidRPr="00603402">
        <w:rPr>
          <w:rFonts w:ascii="Arial" w:eastAsia="Times New Roman" w:hAnsi="Arial" w:cs="Arial"/>
          <w:sz w:val="20"/>
          <w:szCs w:val="20"/>
          <w:lang w:val="es-ES_tradnl" w:eastAsia="es-ES"/>
        </w:rPr>
        <w:t>que permita generar alertas</w:t>
      </w:r>
      <w:r w:rsidR="00B77F6F" w:rsidRPr="00603402">
        <w:rPr>
          <w:rFonts w:ascii="Arial" w:eastAsia="Times New Roman" w:hAnsi="Arial" w:cs="Arial"/>
          <w:sz w:val="20"/>
          <w:szCs w:val="20"/>
          <w:lang w:val="es-ES_tradnl" w:eastAsia="es-ES"/>
        </w:rPr>
        <w:t xml:space="preserve"> </w:t>
      </w:r>
      <w:r w:rsidR="00AC3CE8" w:rsidRPr="00603402">
        <w:rPr>
          <w:rFonts w:ascii="Arial" w:eastAsia="Times New Roman" w:hAnsi="Arial" w:cs="Arial"/>
          <w:sz w:val="20"/>
          <w:szCs w:val="20"/>
          <w:lang w:val="es-ES_tradnl" w:eastAsia="es-ES"/>
        </w:rPr>
        <w:t>a las dependencias responsables de su cumplimi</w:t>
      </w:r>
      <w:r w:rsidR="00B77F6F" w:rsidRPr="00603402">
        <w:rPr>
          <w:rFonts w:ascii="Arial" w:eastAsia="Times New Roman" w:hAnsi="Arial" w:cs="Arial"/>
          <w:sz w:val="20"/>
          <w:szCs w:val="20"/>
          <w:lang w:val="es-ES_tradnl" w:eastAsia="es-ES"/>
        </w:rPr>
        <w:t xml:space="preserve">ento y por ende coadyuve al </w:t>
      </w:r>
      <w:r w:rsidR="00603402" w:rsidRPr="00603402">
        <w:rPr>
          <w:rFonts w:ascii="Arial" w:eastAsia="Times New Roman" w:hAnsi="Arial" w:cs="Arial"/>
          <w:sz w:val="20"/>
          <w:szCs w:val="20"/>
          <w:lang w:val="es-ES_tradnl" w:eastAsia="es-ES"/>
        </w:rPr>
        <w:t>aseguramiento, oportunidad</w:t>
      </w:r>
      <w:r w:rsidR="00B77F6F" w:rsidRPr="00603402">
        <w:rPr>
          <w:rFonts w:ascii="Arial" w:eastAsia="Calibri" w:hAnsi="Arial" w:cs="Arial"/>
          <w:sz w:val="20"/>
          <w:szCs w:val="20"/>
          <w:lang w:val="es-ES_tradnl" w:eastAsia="es-ES"/>
        </w:rPr>
        <w:t xml:space="preserve"> y confiabilidad tanto de la información y registros.</w:t>
      </w:r>
    </w:p>
    <w:p w14:paraId="0B2DEE72" w14:textId="77777777" w:rsidR="0004434D" w:rsidRPr="00603402" w:rsidRDefault="0004434D" w:rsidP="00603402">
      <w:pPr>
        <w:spacing w:after="0" w:line="276" w:lineRule="auto"/>
        <w:jc w:val="both"/>
        <w:rPr>
          <w:rFonts w:ascii="Arial" w:eastAsia="Calibri" w:hAnsi="Arial" w:cs="Arial"/>
          <w:sz w:val="20"/>
          <w:szCs w:val="20"/>
          <w:lang w:val="es-ES_tradnl" w:eastAsia="es-ES"/>
        </w:rPr>
      </w:pPr>
    </w:p>
    <w:p w14:paraId="41E2DBCA" w14:textId="77777777" w:rsidR="00F35B0E" w:rsidRPr="00F35B0E" w:rsidRDefault="00F35B0E" w:rsidP="00BF519D">
      <w:pPr>
        <w:pStyle w:val="Prrafodelista"/>
        <w:numPr>
          <w:ilvl w:val="1"/>
          <w:numId w:val="1"/>
        </w:numPr>
        <w:rPr>
          <w:rFonts w:ascii="Arial" w:eastAsia="Calibri" w:hAnsi="Arial" w:cs="Arial"/>
          <w:b/>
          <w:sz w:val="20"/>
          <w:szCs w:val="20"/>
          <w:lang w:val="es-CO" w:eastAsia="es-ES"/>
        </w:rPr>
      </w:pPr>
      <w:r w:rsidRPr="00F35B0E">
        <w:rPr>
          <w:rFonts w:ascii="Arial" w:eastAsia="Times New Roman" w:hAnsi="Arial" w:cs="Arial"/>
          <w:b/>
          <w:sz w:val="20"/>
          <w:szCs w:val="20"/>
          <w:lang w:eastAsia="es-ES"/>
        </w:rPr>
        <w:t>Ejecución Presupuestal Primer Semestre 2017-2018:</w:t>
      </w:r>
    </w:p>
    <w:p w14:paraId="3716A408" w14:textId="77777777" w:rsidR="00F35B0E" w:rsidRPr="00F35B0E" w:rsidRDefault="00F35B0E" w:rsidP="00F35B0E">
      <w:pPr>
        <w:pStyle w:val="Prrafodelista"/>
        <w:spacing w:after="0"/>
        <w:rPr>
          <w:rFonts w:ascii="Arial" w:eastAsia="Times New Roman" w:hAnsi="Arial" w:cs="Arial"/>
          <w:color w:val="C00000"/>
          <w:sz w:val="20"/>
          <w:szCs w:val="20"/>
          <w:lang w:eastAsia="es-ES"/>
        </w:rPr>
      </w:pPr>
    </w:p>
    <w:p w14:paraId="59622B7F" w14:textId="1EA00DA3" w:rsidR="00F35B0E" w:rsidRDefault="00F35B0E" w:rsidP="00477CD9">
      <w:pPr>
        <w:spacing w:after="0"/>
        <w:jc w:val="both"/>
        <w:rPr>
          <w:rFonts w:ascii="Arial" w:eastAsia="Times New Roman" w:hAnsi="Arial" w:cs="Arial"/>
          <w:sz w:val="20"/>
          <w:szCs w:val="20"/>
          <w:lang w:eastAsia="es-ES"/>
        </w:rPr>
      </w:pPr>
      <w:r w:rsidRPr="00603402">
        <w:rPr>
          <w:rFonts w:ascii="Arial" w:eastAsia="Times New Roman" w:hAnsi="Arial" w:cs="Arial"/>
          <w:sz w:val="20"/>
          <w:szCs w:val="20"/>
          <w:lang w:eastAsia="es-ES"/>
        </w:rPr>
        <w:t>Se efectúa el análisis del comportamiento de la ejecución presupuestal de enero a junio del 2017 y 2018, realizando el histórico, así:</w:t>
      </w:r>
    </w:p>
    <w:p w14:paraId="7D37DF88" w14:textId="638762E2" w:rsidR="0004434D" w:rsidRPr="0081226F" w:rsidRDefault="0004434D" w:rsidP="00477CD9">
      <w:pPr>
        <w:spacing w:after="0"/>
        <w:jc w:val="both"/>
        <w:rPr>
          <w:rFonts w:ascii="Arial" w:eastAsia="Times New Roman" w:hAnsi="Arial" w:cs="Arial"/>
          <w:sz w:val="10"/>
          <w:szCs w:val="10"/>
          <w:lang w:eastAsia="es-ES"/>
        </w:rPr>
      </w:pPr>
    </w:p>
    <w:p w14:paraId="5BE96951" w14:textId="2E3C2075" w:rsidR="0004434D" w:rsidRDefault="0004434D" w:rsidP="00477CD9">
      <w:pPr>
        <w:spacing w:after="0"/>
        <w:jc w:val="both"/>
        <w:rPr>
          <w:rFonts w:ascii="Arial" w:eastAsia="Times New Roman" w:hAnsi="Arial" w:cs="Arial"/>
          <w:sz w:val="20"/>
          <w:szCs w:val="20"/>
          <w:lang w:eastAsia="es-ES"/>
        </w:rPr>
      </w:pPr>
      <w:r>
        <w:rPr>
          <w:rFonts w:ascii="Arial" w:eastAsia="Times New Roman" w:hAnsi="Arial" w:cs="Arial"/>
          <w:sz w:val="20"/>
          <w:szCs w:val="20"/>
          <w:lang w:eastAsia="es-ES"/>
        </w:rPr>
        <w:tab/>
      </w:r>
      <w:r w:rsidR="0081226F" w:rsidRPr="0081226F">
        <w:rPr>
          <w:noProof/>
        </w:rPr>
        <w:drawing>
          <wp:inline distT="0" distB="0" distL="0" distR="0" wp14:anchorId="003C3188" wp14:editId="661D9F28">
            <wp:extent cx="4162425" cy="1323975"/>
            <wp:effectExtent l="0" t="0" r="9525" b="9525"/>
            <wp:docPr id="70"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162425" cy="1323975"/>
                    </a:xfrm>
                    <a:prstGeom prst="rect">
                      <a:avLst/>
                    </a:prstGeom>
                    <a:noFill/>
                    <a:ln>
                      <a:noFill/>
                    </a:ln>
                  </pic:spPr>
                </pic:pic>
              </a:graphicData>
            </a:graphic>
          </wp:inline>
        </w:drawing>
      </w:r>
    </w:p>
    <w:p w14:paraId="53B5E75E" w14:textId="77777777" w:rsidR="0081226F" w:rsidRPr="0081226F" w:rsidRDefault="0081226F" w:rsidP="00477CD9">
      <w:pPr>
        <w:spacing w:after="0"/>
        <w:jc w:val="both"/>
        <w:rPr>
          <w:rFonts w:ascii="Arial" w:eastAsia="Times New Roman" w:hAnsi="Arial" w:cs="Arial"/>
          <w:sz w:val="10"/>
          <w:szCs w:val="10"/>
          <w:lang w:eastAsia="es-ES"/>
        </w:rPr>
      </w:pPr>
    </w:p>
    <w:p w14:paraId="4344D930" w14:textId="72A0ED26" w:rsidR="0081226F" w:rsidRDefault="0081226F" w:rsidP="0081226F">
      <w:pPr>
        <w:spacing w:after="0"/>
        <w:ind w:firstLine="709"/>
        <w:jc w:val="both"/>
        <w:rPr>
          <w:rFonts w:ascii="Arial" w:eastAsia="Times New Roman" w:hAnsi="Arial" w:cs="Arial"/>
          <w:color w:val="C00000"/>
          <w:sz w:val="20"/>
          <w:szCs w:val="20"/>
          <w:lang w:eastAsia="es-ES"/>
        </w:rPr>
      </w:pPr>
      <w:r>
        <w:rPr>
          <w:noProof/>
        </w:rPr>
        <w:drawing>
          <wp:inline distT="0" distB="0" distL="0" distR="0" wp14:anchorId="26D8E32D" wp14:editId="390863D4">
            <wp:extent cx="4152900" cy="1809750"/>
            <wp:effectExtent l="0" t="0" r="0" b="0"/>
            <wp:docPr id="71" name="Gráfico 71">
              <a:extLst xmlns:a="http://schemas.openxmlformats.org/drawingml/2006/main">
                <a:ext uri="{FF2B5EF4-FFF2-40B4-BE49-F238E27FC236}">
                  <a16:creationId xmlns:a16="http://schemas.microsoft.com/office/drawing/2014/main" id="{0BB77211-0F6B-4FCD-915B-10594B3ADF5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14:paraId="22B6B1C2" w14:textId="4475D4B1" w:rsidR="0081226F" w:rsidRDefault="0081226F" w:rsidP="0081226F">
      <w:pPr>
        <w:spacing w:after="0"/>
        <w:ind w:firstLine="709"/>
        <w:jc w:val="both"/>
        <w:rPr>
          <w:rFonts w:ascii="Arial" w:eastAsia="Times New Roman" w:hAnsi="Arial" w:cs="Arial"/>
          <w:color w:val="C00000"/>
          <w:sz w:val="20"/>
          <w:szCs w:val="20"/>
          <w:lang w:eastAsia="es-ES"/>
        </w:rPr>
      </w:pPr>
      <w:r>
        <w:rPr>
          <w:noProof/>
        </w:rPr>
        <w:lastRenderedPageBreak/>
        <w:drawing>
          <wp:inline distT="0" distB="0" distL="0" distR="0" wp14:anchorId="785E5C20" wp14:editId="66711BD5">
            <wp:extent cx="4191000" cy="2590800"/>
            <wp:effectExtent l="0" t="0" r="0" b="0"/>
            <wp:docPr id="72" name="Gráfico 72">
              <a:extLst xmlns:a="http://schemas.openxmlformats.org/drawingml/2006/main">
                <a:ext uri="{FF2B5EF4-FFF2-40B4-BE49-F238E27FC236}">
                  <a16:creationId xmlns:a16="http://schemas.microsoft.com/office/drawing/2014/main" id="{3CAF97F1-2CD4-4FFC-B84A-5BEF741A8A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14:paraId="776D71D9" w14:textId="45ADEA81" w:rsidR="0081226F" w:rsidRDefault="0081226F" w:rsidP="0081226F">
      <w:pPr>
        <w:spacing w:after="0"/>
        <w:ind w:firstLine="709"/>
        <w:jc w:val="both"/>
        <w:rPr>
          <w:rFonts w:ascii="Arial" w:eastAsia="Times New Roman" w:hAnsi="Arial" w:cs="Arial"/>
          <w:color w:val="C00000"/>
          <w:sz w:val="20"/>
          <w:szCs w:val="20"/>
          <w:lang w:eastAsia="es-ES"/>
        </w:rPr>
      </w:pPr>
    </w:p>
    <w:p w14:paraId="48D4F508" w14:textId="77777777" w:rsidR="0081226F" w:rsidRDefault="0081226F" w:rsidP="0081226F">
      <w:pPr>
        <w:spacing w:after="0"/>
        <w:ind w:firstLine="709"/>
        <w:jc w:val="both"/>
        <w:rPr>
          <w:rFonts w:ascii="Arial" w:eastAsia="Times New Roman" w:hAnsi="Arial" w:cs="Arial"/>
          <w:sz w:val="10"/>
          <w:szCs w:val="20"/>
          <w:lang w:eastAsia="es-ES"/>
        </w:rPr>
      </w:pPr>
      <w:r>
        <w:rPr>
          <w:noProof/>
        </w:rPr>
        <w:drawing>
          <wp:inline distT="0" distB="0" distL="0" distR="0" wp14:anchorId="31E539DF" wp14:editId="1C45B39E">
            <wp:extent cx="4200525" cy="2743200"/>
            <wp:effectExtent l="0" t="0" r="9525" b="0"/>
            <wp:docPr id="74" name="Gráfico 74">
              <a:extLst xmlns:a="http://schemas.openxmlformats.org/drawingml/2006/main">
                <a:ext uri="{FF2B5EF4-FFF2-40B4-BE49-F238E27FC236}">
                  <a16:creationId xmlns:a16="http://schemas.microsoft.com/office/drawing/2014/main" id="{88E8B830-F61B-4838-A6E1-4C216DF443F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r>
        <w:rPr>
          <w:rFonts w:ascii="Arial" w:eastAsia="Times New Roman" w:hAnsi="Arial" w:cs="Arial"/>
          <w:sz w:val="10"/>
          <w:szCs w:val="20"/>
          <w:lang w:eastAsia="es-ES"/>
        </w:rPr>
        <w:t xml:space="preserve">                      </w:t>
      </w:r>
    </w:p>
    <w:p w14:paraId="60FDFA63" w14:textId="0FA5059C" w:rsidR="00F35B0E" w:rsidRPr="0081226F" w:rsidRDefault="00A05B51" w:rsidP="0081226F">
      <w:pPr>
        <w:spacing w:after="0"/>
        <w:ind w:firstLine="709"/>
        <w:jc w:val="both"/>
        <w:rPr>
          <w:rFonts w:ascii="Arial" w:eastAsia="Times New Roman" w:hAnsi="Arial" w:cs="Arial"/>
          <w:color w:val="C00000"/>
          <w:sz w:val="20"/>
          <w:szCs w:val="20"/>
          <w:lang w:eastAsia="es-ES"/>
        </w:rPr>
      </w:pPr>
      <w:r w:rsidRPr="004D028B">
        <w:rPr>
          <w:rFonts w:ascii="Arial" w:eastAsia="Times New Roman" w:hAnsi="Arial" w:cs="Arial"/>
          <w:sz w:val="10"/>
          <w:szCs w:val="20"/>
          <w:lang w:eastAsia="es-ES"/>
        </w:rPr>
        <w:t xml:space="preserve">Fuente: </w:t>
      </w:r>
      <w:r w:rsidR="00CB7B63">
        <w:rPr>
          <w:rFonts w:ascii="Arial" w:eastAsia="Times New Roman" w:hAnsi="Arial" w:cs="Arial"/>
          <w:sz w:val="10"/>
          <w:szCs w:val="20"/>
          <w:lang w:eastAsia="es-ES"/>
        </w:rPr>
        <w:t>PROPIA</w:t>
      </w:r>
      <w:r w:rsidRPr="004D028B">
        <w:rPr>
          <w:rFonts w:ascii="Arial" w:eastAsia="Times New Roman" w:hAnsi="Arial" w:cs="Arial"/>
          <w:sz w:val="10"/>
          <w:szCs w:val="20"/>
          <w:lang w:eastAsia="es-ES"/>
        </w:rPr>
        <w:t xml:space="preserve"> </w:t>
      </w:r>
    </w:p>
    <w:p w14:paraId="0A7B9716" w14:textId="77777777" w:rsidR="00605E87" w:rsidRPr="00F35B0E" w:rsidRDefault="00605E87" w:rsidP="00605E87">
      <w:pPr>
        <w:tabs>
          <w:tab w:val="left" w:pos="910"/>
        </w:tabs>
        <w:spacing w:after="0" w:line="259" w:lineRule="auto"/>
        <w:rPr>
          <w:rFonts w:ascii="Arial" w:eastAsia="Times New Roman" w:hAnsi="Arial" w:cs="Arial"/>
          <w:b/>
          <w:sz w:val="20"/>
          <w:szCs w:val="20"/>
          <w:lang w:eastAsia="es-ES"/>
        </w:rPr>
      </w:pPr>
      <w:r>
        <w:rPr>
          <w:rFonts w:ascii="Arial" w:eastAsia="Times New Roman" w:hAnsi="Arial" w:cs="Arial"/>
          <w:sz w:val="10"/>
          <w:szCs w:val="20"/>
          <w:lang w:eastAsia="es-ES"/>
        </w:rPr>
        <w:t xml:space="preserve">                                                                </w:t>
      </w:r>
    </w:p>
    <w:p w14:paraId="0C8A0447" w14:textId="248793D3" w:rsidR="00CE67F8" w:rsidRPr="00083EE1" w:rsidRDefault="00F35B0E" w:rsidP="008E0CB2">
      <w:pPr>
        <w:jc w:val="both"/>
        <w:rPr>
          <w:rFonts w:ascii="Arial" w:eastAsia="Times New Roman" w:hAnsi="Arial" w:cs="Arial"/>
          <w:sz w:val="20"/>
          <w:szCs w:val="20"/>
          <w:lang w:eastAsia="es-ES"/>
        </w:rPr>
      </w:pPr>
      <w:r w:rsidRPr="008E0CB2">
        <w:rPr>
          <w:rFonts w:ascii="Arial" w:eastAsia="Times New Roman" w:hAnsi="Arial" w:cs="Arial"/>
          <w:sz w:val="20"/>
          <w:szCs w:val="20"/>
          <w:lang w:eastAsia="es-ES"/>
        </w:rPr>
        <w:t xml:space="preserve">Una vez analizada la información referente al comparativo del comportamiento porcentual de los compromisos, obligaciones y pagos entre las vigencias 2017 vs 2018 con corte a 30 de junio, se evidencia que el 2018 presenta un incremento representativo frente a lo ejecutado en el mismo periodo de 2017. Lo </w:t>
      </w:r>
      <w:r w:rsidRPr="00083EE1">
        <w:rPr>
          <w:rFonts w:ascii="Arial" w:eastAsia="Times New Roman" w:hAnsi="Arial" w:cs="Arial"/>
          <w:sz w:val="20"/>
          <w:szCs w:val="20"/>
          <w:lang w:eastAsia="es-ES"/>
        </w:rPr>
        <w:t xml:space="preserve">cual </w:t>
      </w:r>
      <w:r w:rsidR="00477CD9" w:rsidRPr="00083EE1">
        <w:rPr>
          <w:rFonts w:ascii="Arial" w:eastAsia="Times New Roman" w:hAnsi="Arial" w:cs="Arial"/>
          <w:sz w:val="20"/>
          <w:szCs w:val="20"/>
          <w:lang w:eastAsia="es-ES"/>
        </w:rPr>
        <w:t xml:space="preserve">denota </w:t>
      </w:r>
      <w:r w:rsidRPr="00083EE1">
        <w:rPr>
          <w:rFonts w:ascii="Arial" w:eastAsia="Times New Roman" w:hAnsi="Arial" w:cs="Arial"/>
          <w:sz w:val="20"/>
          <w:szCs w:val="20"/>
          <w:lang w:eastAsia="es-ES"/>
        </w:rPr>
        <w:t>que las sugerencias y recomendaciones emitidas en seguimientos realizado</w:t>
      </w:r>
      <w:r w:rsidR="00477CD9" w:rsidRPr="00083EE1">
        <w:rPr>
          <w:rFonts w:ascii="Arial" w:eastAsia="Times New Roman" w:hAnsi="Arial" w:cs="Arial"/>
          <w:sz w:val="20"/>
          <w:szCs w:val="20"/>
          <w:lang w:eastAsia="es-ES"/>
        </w:rPr>
        <w:t>s</w:t>
      </w:r>
      <w:r w:rsidRPr="00083EE1">
        <w:rPr>
          <w:rFonts w:ascii="Arial" w:eastAsia="Times New Roman" w:hAnsi="Arial" w:cs="Arial"/>
          <w:sz w:val="20"/>
          <w:szCs w:val="20"/>
          <w:lang w:eastAsia="es-ES"/>
        </w:rPr>
        <w:t xml:space="preserve"> por la Oficina de Control Interno en años anteriores han sido </w:t>
      </w:r>
      <w:r w:rsidR="00477CD9" w:rsidRPr="00083EE1">
        <w:rPr>
          <w:rFonts w:ascii="Arial" w:eastAsia="Times New Roman" w:hAnsi="Arial" w:cs="Arial"/>
          <w:sz w:val="20"/>
          <w:szCs w:val="20"/>
          <w:lang w:eastAsia="es-ES"/>
        </w:rPr>
        <w:t xml:space="preserve">analizadas y </w:t>
      </w:r>
      <w:r w:rsidR="00BE6E5E" w:rsidRPr="00083EE1">
        <w:rPr>
          <w:rFonts w:ascii="Arial" w:eastAsia="Times New Roman" w:hAnsi="Arial" w:cs="Arial"/>
          <w:sz w:val="20"/>
          <w:szCs w:val="20"/>
          <w:lang w:eastAsia="es-ES"/>
        </w:rPr>
        <w:t xml:space="preserve">aplicadas </w:t>
      </w:r>
      <w:r w:rsidRPr="00083EE1">
        <w:rPr>
          <w:rFonts w:ascii="Arial" w:eastAsia="Times New Roman" w:hAnsi="Arial" w:cs="Arial"/>
          <w:sz w:val="20"/>
          <w:szCs w:val="20"/>
          <w:lang w:eastAsia="es-ES"/>
        </w:rPr>
        <w:t>por los responsables de cada proceso en la ejecución presupuestal.</w:t>
      </w:r>
    </w:p>
    <w:p w14:paraId="3B8A029A" w14:textId="77777777" w:rsidR="008E0CB2" w:rsidRPr="008E0CB2" w:rsidRDefault="00C434B5" w:rsidP="008E0CB2">
      <w:pPr>
        <w:pStyle w:val="Prrafodelista"/>
        <w:numPr>
          <w:ilvl w:val="1"/>
          <w:numId w:val="1"/>
        </w:numPr>
        <w:rPr>
          <w:rFonts w:ascii="Arial" w:eastAsia="Calibri" w:hAnsi="Arial" w:cs="Arial"/>
          <w:b/>
          <w:sz w:val="20"/>
          <w:szCs w:val="20"/>
          <w:lang w:val="es-CO" w:eastAsia="es-ES"/>
        </w:rPr>
      </w:pPr>
      <w:r w:rsidRPr="00C434B5">
        <w:rPr>
          <w:rFonts w:ascii="Arial" w:eastAsia="Times New Roman" w:hAnsi="Arial" w:cs="Arial"/>
          <w:b/>
          <w:sz w:val="20"/>
          <w:szCs w:val="20"/>
          <w:lang w:eastAsia="es-ES"/>
        </w:rPr>
        <w:t>Ejecución Presupuestal Tercer Trimestre 2015 a 2018</w:t>
      </w:r>
    </w:p>
    <w:p w14:paraId="2E65413B" w14:textId="7C74E18B" w:rsidR="00C434B5" w:rsidRPr="00C434B5" w:rsidRDefault="00C434B5" w:rsidP="00477CD9">
      <w:pPr>
        <w:rPr>
          <w:rFonts w:ascii="Arial" w:eastAsia="Times New Roman" w:hAnsi="Arial" w:cs="Arial"/>
          <w:sz w:val="20"/>
          <w:szCs w:val="20"/>
          <w:lang w:val="es-ES_tradnl" w:eastAsia="es-ES"/>
        </w:rPr>
      </w:pPr>
      <w:r w:rsidRPr="008E0CB2">
        <w:rPr>
          <w:rFonts w:ascii="Arial" w:eastAsia="Times New Roman" w:hAnsi="Arial" w:cs="Arial"/>
          <w:sz w:val="20"/>
          <w:szCs w:val="20"/>
          <w:lang w:val="es-ES_tradnl" w:eastAsia="es-ES"/>
        </w:rPr>
        <w:t xml:space="preserve">Se realiza análisis y determinación de la variación porcentual del avance logrado del tercer trimestre de los años de 2015 a 2018, así: </w:t>
      </w:r>
    </w:p>
    <w:p w14:paraId="7D843B76" w14:textId="77777777" w:rsidR="00C434B5" w:rsidRPr="00C434B5" w:rsidRDefault="00C434B5" w:rsidP="00477CD9">
      <w:pPr>
        <w:spacing w:after="0"/>
        <w:ind w:left="142" w:hanging="284"/>
        <w:contextualSpacing/>
        <w:jc w:val="center"/>
        <w:rPr>
          <w:rFonts w:ascii="Arial" w:eastAsia="Times New Roman" w:hAnsi="Arial" w:cs="Arial"/>
          <w:sz w:val="20"/>
          <w:szCs w:val="20"/>
          <w:lang w:val="es-ES_tradnl" w:eastAsia="es-ES"/>
        </w:rPr>
      </w:pPr>
      <w:r w:rsidRPr="00C434B5">
        <w:rPr>
          <w:rFonts w:ascii="Arial" w:eastAsia="Times New Roman" w:hAnsi="Arial" w:cs="Arial"/>
          <w:noProof/>
          <w:sz w:val="20"/>
          <w:szCs w:val="20"/>
          <w:lang w:eastAsia="es-ES"/>
        </w:rPr>
        <w:lastRenderedPageBreak/>
        <w:drawing>
          <wp:inline distT="0" distB="0" distL="0" distR="0" wp14:anchorId="19F0A86C" wp14:editId="6E5B8CBB">
            <wp:extent cx="5610225" cy="2590800"/>
            <wp:effectExtent l="0" t="0" r="9525" b="0"/>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694862" cy="2629885"/>
                    </a:xfrm>
                    <a:prstGeom prst="rect">
                      <a:avLst/>
                    </a:prstGeom>
                    <a:noFill/>
                  </pic:spPr>
                </pic:pic>
              </a:graphicData>
            </a:graphic>
          </wp:inline>
        </w:drawing>
      </w:r>
    </w:p>
    <w:p w14:paraId="35AFDD5B" w14:textId="1ED12A34" w:rsidR="00A05B51" w:rsidRPr="004D028B" w:rsidRDefault="00A05B51" w:rsidP="00CB7B63">
      <w:pPr>
        <w:tabs>
          <w:tab w:val="left" w:pos="910"/>
        </w:tabs>
        <w:spacing w:after="0" w:line="259" w:lineRule="auto"/>
        <w:rPr>
          <w:rFonts w:ascii="Arial" w:eastAsia="Times New Roman" w:hAnsi="Arial" w:cs="Arial"/>
          <w:sz w:val="10"/>
          <w:szCs w:val="20"/>
          <w:lang w:eastAsia="es-ES"/>
        </w:rPr>
      </w:pPr>
      <w:r>
        <w:rPr>
          <w:rFonts w:ascii="Arial" w:eastAsia="Times New Roman" w:hAnsi="Arial" w:cs="Arial"/>
          <w:sz w:val="10"/>
          <w:szCs w:val="20"/>
          <w:lang w:eastAsia="es-ES"/>
        </w:rPr>
        <w:t xml:space="preserve">                                           </w:t>
      </w:r>
      <w:r w:rsidRPr="004D028B">
        <w:rPr>
          <w:rFonts w:ascii="Arial" w:eastAsia="Times New Roman" w:hAnsi="Arial" w:cs="Arial"/>
          <w:sz w:val="10"/>
          <w:szCs w:val="20"/>
          <w:lang w:eastAsia="es-ES"/>
        </w:rPr>
        <w:t xml:space="preserve">Fuente: </w:t>
      </w:r>
      <w:r w:rsidR="00CB7B63">
        <w:rPr>
          <w:rFonts w:ascii="Arial" w:eastAsia="Times New Roman" w:hAnsi="Arial" w:cs="Arial"/>
          <w:sz w:val="10"/>
          <w:szCs w:val="20"/>
          <w:lang w:eastAsia="es-ES"/>
        </w:rPr>
        <w:t>PROPIA</w:t>
      </w:r>
    </w:p>
    <w:p w14:paraId="3E346065" w14:textId="77777777" w:rsidR="00CE67F8" w:rsidRDefault="00CE67F8" w:rsidP="00C434B5">
      <w:pPr>
        <w:spacing w:after="0"/>
        <w:contextualSpacing/>
        <w:jc w:val="both"/>
        <w:rPr>
          <w:rFonts w:ascii="Arial" w:eastAsia="Times New Roman" w:hAnsi="Arial" w:cs="Arial"/>
          <w:sz w:val="20"/>
          <w:szCs w:val="20"/>
          <w:lang w:eastAsia="es-ES"/>
        </w:rPr>
      </w:pPr>
    </w:p>
    <w:p w14:paraId="3AF08A7F" w14:textId="7E1C9250" w:rsidR="00C434B5" w:rsidRPr="00C434B5" w:rsidRDefault="00C434B5" w:rsidP="00083EE1">
      <w:pPr>
        <w:spacing w:after="0"/>
        <w:contextualSpacing/>
        <w:jc w:val="both"/>
        <w:rPr>
          <w:rFonts w:ascii="Arial" w:eastAsia="Times New Roman" w:hAnsi="Arial" w:cs="Arial"/>
          <w:sz w:val="20"/>
          <w:szCs w:val="20"/>
          <w:lang w:eastAsia="es-ES"/>
        </w:rPr>
      </w:pPr>
      <w:r w:rsidRPr="00C434B5">
        <w:rPr>
          <w:rFonts w:ascii="Arial" w:eastAsia="Times New Roman" w:hAnsi="Arial" w:cs="Arial"/>
          <w:sz w:val="20"/>
          <w:szCs w:val="20"/>
          <w:lang w:eastAsia="es-ES"/>
        </w:rPr>
        <w:t xml:space="preserve">Al igual que en la apreciación anterior, se observa el mejoramiento en el tercer trimestre de 2018 en la gestión de la ejecución presupuestal en cuanto a compromisos, obligaciones y pagos respecto a las vigencias 2015, 2016 y 2017, </w:t>
      </w:r>
      <w:r w:rsidRPr="00083EE1">
        <w:rPr>
          <w:rFonts w:ascii="Arial" w:eastAsia="Times New Roman" w:hAnsi="Arial" w:cs="Arial"/>
          <w:sz w:val="20"/>
          <w:szCs w:val="20"/>
          <w:lang w:eastAsia="es-ES"/>
        </w:rPr>
        <w:t xml:space="preserve">lo cual </w:t>
      </w:r>
      <w:r w:rsidR="00BE6E5E" w:rsidRPr="00083EE1">
        <w:rPr>
          <w:rFonts w:ascii="Arial" w:eastAsia="Times New Roman" w:hAnsi="Arial" w:cs="Arial"/>
          <w:sz w:val="20"/>
          <w:szCs w:val="20"/>
          <w:lang w:eastAsia="es-ES"/>
        </w:rPr>
        <w:t xml:space="preserve">demuestra </w:t>
      </w:r>
      <w:r w:rsidRPr="00083EE1">
        <w:rPr>
          <w:rFonts w:ascii="Arial" w:eastAsia="Times New Roman" w:hAnsi="Arial" w:cs="Arial"/>
          <w:sz w:val="20"/>
          <w:szCs w:val="20"/>
          <w:lang w:eastAsia="es-ES"/>
        </w:rPr>
        <w:t>el compromiso institucional por parte del Grupo de Gestión Financiera y las áreas responsables de la ejecución presupuestal. S</w:t>
      </w:r>
      <w:r w:rsidR="00BE6E5E" w:rsidRPr="00083EE1">
        <w:rPr>
          <w:rFonts w:ascii="Arial" w:eastAsia="Times New Roman" w:hAnsi="Arial" w:cs="Arial"/>
          <w:sz w:val="20"/>
          <w:szCs w:val="20"/>
          <w:lang w:eastAsia="es-ES"/>
        </w:rPr>
        <w:t>in embargo, se puede apreciar que</w:t>
      </w:r>
      <w:r w:rsidRPr="00083EE1">
        <w:rPr>
          <w:rFonts w:ascii="Arial" w:eastAsia="Times New Roman" w:hAnsi="Arial" w:cs="Arial"/>
          <w:sz w:val="20"/>
          <w:szCs w:val="20"/>
          <w:lang w:eastAsia="es-ES"/>
        </w:rPr>
        <w:t xml:space="preserve"> las obligaciones y pagos frente </w:t>
      </w:r>
      <w:r w:rsidRPr="00C434B5">
        <w:rPr>
          <w:rFonts w:ascii="Arial" w:eastAsia="Times New Roman" w:hAnsi="Arial" w:cs="Arial"/>
          <w:sz w:val="20"/>
          <w:szCs w:val="20"/>
          <w:lang w:eastAsia="es-ES"/>
        </w:rPr>
        <w:t>a los compromisos presenta</w:t>
      </w:r>
      <w:r w:rsidR="00BE6E5E">
        <w:rPr>
          <w:rFonts w:ascii="Arial" w:eastAsia="Times New Roman" w:hAnsi="Arial" w:cs="Arial"/>
          <w:sz w:val="20"/>
          <w:szCs w:val="20"/>
          <w:lang w:eastAsia="es-ES"/>
        </w:rPr>
        <w:t>n</w:t>
      </w:r>
      <w:r w:rsidRPr="00C434B5">
        <w:rPr>
          <w:rFonts w:ascii="Arial" w:eastAsia="Times New Roman" w:hAnsi="Arial" w:cs="Arial"/>
          <w:sz w:val="20"/>
          <w:szCs w:val="20"/>
          <w:lang w:eastAsia="es-ES"/>
        </w:rPr>
        <w:t xml:space="preserve"> una diferencia porcentual equivalente al 13%. </w:t>
      </w:r>
    </w:p>
    <w:p w14:paraId="567AD7EB" w14:textId="77777777" w:rsidR="007F49E4" w:rsidRDefault="007F49E4" w:rsidP="00C434B5">
      <w:pPr>
        <w:spacing w:after="0"/>
        <w:contextualSpacing/>
        <w:rPr>
          <w:rFonts w:ascii="Arial" w:eastAsia="Times New Roman" w:hAnsi="Arial" w:cs="Arial"/>
          <w:b/>
          <w:sz w:val="20"/>
          <w:szCs w:val="20"/>
          <w:lang w:eastAsia="es-ES"/>
        </w:rPr>
      </w:pPr>
    </w:p>
    <w:p w14:paraId="38FDFDAF" w14:textId="6BEF4D71" w:rsidR="00C434B5" w:rsidRPr="00C434B5" w:rsidRDefault="00C434B5" w:rsidP="00C434B5">
      <w:pPr>
        <w:spacing w:after="0"/>
        <w:contextualSpacing/>
        <w:rPr>
          <w:rFonts w:ascii="Arial" w:eastAsia="Times New Roman" w:hAnsi="Arial" w:cs="Arial"/>
          <w:b/>
          <w:sz w:val="20"/>
          <w:szCs w:val="20"/>
          <w:lang w:eastAsia="es-ES"/>
        </w:rPr>
      </w:pPr>
      <w:r w:rsidRPr="00C434B5">
        <w:rPr>
          <w:rFonts w:ascii="Arial" w:eastAsia="Times New Roman" w:hAnsi="Arial" w:cs="Arial"/>
          <w:b/>
          <w:sz w:val="20"/>
          <w:szCs w:val="20"/>
          <w:lang w:eastAsia="es-ES"/>
        </w:rPr>
        <w:t>CONTROLES:</w:t>
      </w:r>
    </w:p>
    <w:p w14:paraId="02F9EA5C" w14:textId="77777777" w:rsidR="00C434B5" w:rsidRPr="00C434B5" w:rsidRDefault="00C434B5" w:rsidP="00C434B5">
      <w:pPr>
        <w:spacing w:after="0"/>
        <w:contextualSpacing/>
        <w:rPr>
          <w:rFonts w:ascii="Arial" w:eastAsia="Times New Roman" w:hAnsi="Arial" w:cs="Arial"/>
          <w:sz w:val="20"/>
          <w:szCs w:val="20"/>
          <w:lang w:eastAsia="es-ES"/>
        </w:rPr>
      </w:pPr>
    </w:p>
    <w:p w14:paraId="48A07F59" w14:textId="77777777" w:rsidR="00C434B5" w:rsidRDefault="00C434B5" w:rsidP="00EE6AFF">
      <w:pPr>
        <w:numPr>
          <w:ilvl w:val="0"/>
          <w:numId w:val="34"/>
        </w:numPr>
        <w:spacing w:after="0" w:line="259" w:lineRule="auto"/>
        <w:contextualSpacing/>
        <w:jc w:val="both"/>
        <w:rPr>
          <w:rFonts w:ascii="Arial" w:eastAsia="Times New Roman" w:hAnsi="Arial" w:cs="Arial"/>
          <w:sz w:val="20"/>
          <w:szCs w:val="20"/>
          <w:lang w:val="es-ES_tradnl" w:eastAsia="es-ES"/>
        </w:rPr>
      </w:pPr>
      <w:r w:rsidRPr="00C434B5">
        <w:rPr>
          <w:rFonts w:ascii="Arial" w:eastAsia="Times New Roman" w:hAnsi="Arial" w:cs="Arial"/>
          <w:sz w:val="20"/>
          <w:szCs w:val="20"/>
          <w:lang w:val="es-ES_tradnl" w:eastAsia="es-ES"/>
        </w:rPr>
        <w:t>En el primer semestre de 2018 se observa que el Grupo de Gestión Financiera en lo referente a la administración presupuestal han implementado controles internos que sirven de apoyo para realizar el seguimiento a la ejecución presupuestal.</w:t>
      </w:r>
    </w:p>
    <w:p w14:paraId="50424E74" w14:textId="77777777" w:rsidR="00C434B5" w:rsidRPr="00C434B5" w:rsidRDefault="00C434B5" w:rsidP="00001F7B">
      <w:pPr>
        <w:spacing w:after="0"/>
        <w:contextualSpacing/>
        <w:jc w:val="both"/>
        <w:rPr>
          <w:rFonts w:ascii="Arial" w:eastAsia="Times New Roman" w:hAnsi="Arial" w:cs="Arial"/>
          <w:sz w:val="20"/>
          <w:szCs w:val="20"/>
          <w:lang w:val="es-ES_tradnl" w:eastAsia="es-ES"/>
        </w:rPr>
      </w:pPr>
      <w:r w:rsidRPr="00C434B5">
        <w:rPr>
          <w:rFonts w:ascii="Arial" w:eastAsia="Times New Roman" w:hAnsi="Arial" w:cs="Arial"/>
          <w:sz w:val="20"/>
          <w:szCs w:val="20"/>
          <w:lang w:val="es-ES_tradnl" w:eastAsia="es-ES"/>
        </w:rPr>
        <w:t xml:space="preserve"> </w:t>
      </w:r>
    </w:p>
    <w:p w14:paraId="49CFE0A2" w14:textId="77777777" w:rsidR="00E3134D" w:rsidRDefault="00885638" w:rsidP="00A97CC5">
      <w:pPr>
        <w:pStyle w:val="Prrafodelista"/>
        <w:numPr>
          <w:ilvl w:val="0"/>
          <w:numId w:val="6"/>
        </w:numPr>
        <w:tabs>
          <w:tab w:val="left" w:pos="0"/>
          <w:tab w:val="left" w:pos="426"/>
        </w:tabs>
        <w:spacing w:after="0"/>
        <w:jc w:val="both"/>
        <w:rPr>
          <w:rFonts w:ascii="Arial" w:eastAsia="Calibri" w:hAnsi="Arial" w:cs="Arial"/>
          <w:b/>
          <w:sz w:val="20"/>
          <w:szCs w:val="20"/>
          <w:lang w:val="es-CO" w:eastAsia="es-ES"/>
        </w:rPr>
      </w:pPr>
      <w:r w:rsidRPr="004C11AA">
        <w:rPr>
          <w:rFonts w:ascii="Arial" w:eastAsia="Calibri" w:hAnsi="Arial" w:cs="Arial"/>
          <w:b/>
          <w:sz w:val="20"/>
          <w:szCs w:val="20"/>
          <w:lang w:val="es-CO" w:eastAsia="es-ES"/>
        </w:rPr>
        <w:t xml:space="preserve">DEBILIDADES </w:t>
      </w:r>
      <w:r w:rsidR="00E40214">
        <w:rPr>
          <w:rFonts w:ascii="Arial" w:eastAsia="Calibri" w:hAnsi="Arial" w:cs="Arial"/>
          <w:b/>
          <w:sz w:val="20"/>
          <w:szCs w:val="20"/>
          <w:lang w:val="es-CO" w:eastAsia="es-ES"/>
        </w:rPr>
        <w:t xml:space="preserve">DEL SISTEMA DE CONTROL </w:t>
      </w:r>
      <w:r w:rsidR="00001F7B">
        <w:rPr>
          <w:rFonts w:ascii="Arial" w:eastAsia="Calibri" w:hAnsi="Arial" w:cs="Arial"/>
          <w:b/>
          <w:sz w:val="20"/>
          <w:szCs w:val="20"/>
          <w:lang w:val="es-CO" w:eastAsia="es-ES"/>
        </w:rPr>
        <w:t>INTERNO (</w:t>
      </w:r>
      <w:r w:rsidR="00E40214">
        <w:rPr>
          <w:rFonts w:ascii="Arial" w:eastAsia="Calibri" w:hAnsi="Arial" w:cs="Arial"/>
          <w:b/>
          <w:sz w:val="20"/>
          <w:szCs w:val="20"/>
          <w:lang w:val="es-CO" w:eastAsia="es-ES"/>
        </w:rPr>
        <w:t xml:space="preserve">HALLAZGOS) </w:t>
      </w:r>
      <w:r w:rsidRPr="004C11AA">
        <w:rPr>
          <w:rFonts w:ascii="Arial" w:eastAsia="Calibri" w:hAnsi="Arial" w:cs="Arial"/>
          <w:b/>
          <w:sz w:val="20"/>
          <w:szCs w:val="20"/>
          <w:lang w:val="es-CO" w:eastAsia="es-ES"/>
        </w:rPr>
        <w:t>IDENTIFICADAS EN EL PROCESO AUDITOR</w:t>
      </w:r>
    </w:p>
    <w:p w14:paraId="3F3718B0" w14:textId="77777777" w:rsidR="00950402" w:rsidRDefault="00950402" w:rsidP="00950402">
      <w:pPr>
        <w:tabs>
          <w:tab w:val="left" w:pos="0"/>
          <w:tab w:val="left" w:pos="426"/>
        </w:tabs>
        <w:spacing w:after="0"/>
        <w:jc w:val="both"/>
        <w:rPr>
          <w:rFonts w:ascii="Arial" w:eastAsia="Calibri" w:hAnsi="Arial" w:cs="Arial"/>
          <w:sz w:val="20"/>
          <w:szCs w:val="20"/>
          <w:lang w:val="es-CO" w:eastAsia="es-ES"/>
        </w:rPr>
      </w:pPr>
    </w:p>
    <w:p w14:paraId="44607B1E" w14:textId="3BDD98AE" w:rsidR="00B46E19" w:rsidRPr="00950402" w:rsidRDefault="00B46E19" w:rsidP="00950402">
      <w:pPr>
        <w:tabs>
          <w:tab w:val="left" w:pos="0"/>
          <w:tab w:val="left" w:pos="426"/>
        </w:tabs>
        <w:spacing w:after="0"/>
        <w:jc w:val="both"/>
        <w:rPr>
          <w:rFonts w:ascii="Arial" w:eastAsia="Calibri" w:hAnsi="Arial" w:cs="Arial"/>
          <w:b/>
          <w:sz w:val="20"/>
          <w:szCs w:val="20"/>
          <w:lang w:val="es-CO" w:eastAsia="es-ES"/>
        </w:rPr>
      </w:pPr>
      <w:r w:rsidRPr="00950402">
        <w:rPr>
          <w:rFonts w:ascii="Arial" w:eastAsia="Calibri" w:hAnsi="Arial" w:cs="Arial"/>
          <w:sz w:val="20"/>
          <w:szCs w:val="20"/>
          <w:lang w:val="es-CO" w:eastAsia="es-ES"/>
        </w:rPr>
        <w:t>A partir de lo evidenciado en el proceso auditor y cotejad</w:t>
      </w:r>
      <w:r w:rsidR="00BD5123" w:rsidRPr="00950402">
        <w:rPr>
          <w:rFonts w:ascii="Arial" w:eastAsia="Calibri" w:hAnsi="Arial" w:cs="Arial"/>
          <w:sz w:val="20"/>
          <w:szCs w:val="20"/>
          <w:lang w:val="es-CO" w:eastAsia="es-ES"/>
        </w:rPr>
        <w:t>o</w:t>
      </w:r>
      <w:r w:rsidRPr="00950402">
        <w:rPr>
          <w:rFonts w:ascii="Arial" w:eastAsia="Calibri" w:hAnsi="Arial" w:cs="Arial"/>
          <w:sz w:val="20"/>
          <w:szCs w:val="20"/>
          <w:lang w:val="es-CO" w:eastAsia="es-ES"/>
        </w:rPr>
        <w:t xml:space="preserve"> </w:t>
      </w:r>
      <w:r w:rsidR="00BD5123" w:rsidRPr="00950402">
        <w:rPr>
          <w:rFonts w:ascii="Arial" w:eastAsia="Calibri" w:hAnsi="Arial" w:cs="Arial"/>
          <w:sz w:val="20"/>
          <w:szCs w:val="20"/>
          <w:lang w:val="es-CO" w:eastAsia="es-ES"/>
        </w:rPr>
        <w:t>ello</w:t>
      </w:r>
      <w:r w:rsidRPr="00950402">
        <w:rPr>
          <w:rFonts w:ascii="Arial" w:eastAsia="Calibri" w:hAnsi="Arial" w:cs="Arial"/>
          <w:sz w:val="20"/>
          <w:szCs w:val="20"/>
          <w:lang w:val="es-CO" w:eastAsia="es-ES"/>
        </w:rPr>
        <w:t xml:space="preserve"> con los marcos normativos, administrativos y de gestión, el </w:t>
      </w:r>
      <w:r w:rsidR="00ED38A4" w:rsidRPr="00950402">
        <w:rPr>
          <w:rFonts w:ascii="Arial" w:eastAsia="Calibri" w:hAnsi="Arial" w:cs="Arial"/>
          <w:sz w:val="20"/>
          <w:szCs w:val="20"/>
          <w:lang w:val="es-CO" w:eastAsia="es-ES"/>
        </w:rPr>
        <w:t xml:space="preserve">Grupo Auditor </w:t>
      </w:r>
      <w:r w:rsidRPr="00950402">
        <w:rPr>
          <w:rFonts w:ascii="Arial" w:eastAsia="Calibri" w:hAnsi="Arial" w:cs="Arial"/>
          <w:sz w:val="20"/>
          <w:szCs w:val="20"/>
          <w:lang w:val="es-CO" w:eastAsia="es-ES"/>
        </w:rPr>
        <w:t>considera que la</w:t>
      </w:r>
      <w:r w:rsidR="00B75FD1" w:rsidRPr="00950402">
        <w:rPr>
          <w:rFonts w:ascii="Arial" w:eastAsia="Calibri" w:hAnsi="Arial" w:cs="Arial"/>
          <w:sz w:val="20"/>
          <w:szCs w:val="20"/>
          <w:lang w:val="es-CO" w:eastAsia="es-ES"/>
        </w:rPr>
        <w:t>s</w:t>
      </w:r>
      <w:r w:rsidRPr="00950402">
        <w:rPr>
          <w:rFonts w:ascii="Arial" w:eastAsia="Calibri" w:hAnsi="Arial" w:cs="Arial"/>
          <w:sz w:val="20"/>
          <w:szCs w:val="20"/>
          <w:lang w:val="es-CO" w:eastAsia="es-ES"/>
        </w:rPr>
        <w:t xml:space="preserve"> siguiente</w:t>
      </w:r>
      <w:r w:rsidR="00B75FD1" w:rsidRPr="00950402">
        <w:rPr>
          <w:rFonts w:ascii="Arial" w:eastAsia="Calibri" w:hAnsi="Arial" w:cs="Arial"/>
          <w:sz w:val="20"/>
          <w:szCs w:val="20"/>
          <w:lang w:val="es-CO" w:eastAsia="es-ES"/>
        </w:rPr>
        <w:t>s</w:t>
      </w:r>
      <w:r w:rsidRPr="00950402">
        <w:rPr>
          <w:rFonts w:ascii="Arial" w:eastAsia="Calibri" w:hAnsi="Arial" w:cs="Arial"/>
          <w:sz w:val="20"/>
          <w:szCs w:val="20"/>
          <w:lang w:val="es-CO" w:eastAsia="es-ES"/>
        </w:rPr>
        <w:t xml:space="preserve"> situaci</w:t>
      </w:r>
      <w:r w:rsidR="00B75FD1" w:rsidRPr="00950402">
        <w:rPr>
          <w:rFonts w:ascii="Arial" w:eastAsia="Calibri" w:hAnsi="Arial" w:cs="Arial"/>
          <w:sz w:val="20"/>
          <w:szCs w:val="20"/>
          <w:lang w:val="es-CO" w:eastAsia="es-ES"/>
        </w:rPr>
        <w:t>o</w:t>
      </w:r>
      <w:r w:rsidRPr="00950402">
        <w:rPr>
          <w:rFonts w:ascii="Arial" w:eastAsia="Calibri" w:hAnsi="Arial" w:cs="Arial"/>
          <w:sz w:val="20"/>
          <w:szCs w:val="20"/>
          <w:lang w:val="es-CO" w:eastAsia="es-ES"/>
        </w:rPr>
        <w:t>n</w:t>
      </w:r>
      <w:r w:rsidR="00B75FD1" w:rsidRPr="00950402">
        <w:rPr>
          <w:rFonts w:ascii="Arial" w:eastAsia="Calibri" w:hAnsi="Arial" w:cs="Arial"/>
          <w:sz w:val="20"/>
          <w:szCs w:val="20"/>
          <w:lang w:val="es-CO" w:eastAsia="es-ES"/>
        </w:rPr>
        <w:t>es</w:t>
      </w:r>
      <w:r w:rsidRPr="00950402">
        <w:rPr>
          <w:rFonts w:ascii="Arial" w:eastAsia="Calibri" w:hAnsi="Arial" w:cs="Arial"/>
          <w:sz w:val="20"/>
          <w:szCs w:val="20"/>
          <w:lang w:val="es-CO" w:eastAsia="es-ES"/>
        </w:rPr>
        <w:t xml:space="preserve"> </w:t>
      </w:r>
      <w:r w:rsidR="00193328" w:rsidRPr="00950402">
        <w:rPr>
          <w:rFonts w:ascii="Arial" w:eastAsia="Calibri" w:hAnsi="Arial" w:cs="Arial"/>
          <w:sz w:val="20"/>
          <w:szCs w:val="20"/>
          <w:lang w:val="es-CO" w:eastAsia="es-ES"/>
        </w:rPr>
        <w:t>s</w:t>
      </w:r>
      <w:r w:rsidR="00B75FD1" w:rsidRPr="00950402">
        <w:rPr>
          <w:rFonts w:ascii="Arial" w:eastAsia="Calibri" w:hAnsi="Arial" w:cs="Arial"/>
          <w:sz w:val="20"/>
          <w:szCs w:val="20"/>
          <w:lang w:val="es-CO" w:eastAsia="es-ES"/>
        </w:rPr>
        <w:t>on</w:t>
      </w:r>
      <w:r w:rsidR="00193328" w:rsidRPr="00950402">
        <w:rPr>
          <w:rFonts w:ascii="Arial" w:eastAsia="Calibri" w:hAnsi="Arial" w:cs="Arial"/>
          <w:sz w:val="20"/>
          <w:szCs w:val="20"/>
          <w:lang w:val="es-CO" w:eastAsia="es-ES"/>
        </w:rPr>
        <w:t xml:space="preserve"> </w:t>
      </w:r>
      <w:r w:rsidRPr="00950402">
        <w:rPr>
          <w:rFonts w:ascii="Arial" w:eastAsia="Calibri" w:hAnsi="Arial" w:cs="Arial"/>
          <w:sz w:val="20"/>
          <w:szCs w:val="20"/>
          <w:lang w:val="es-CO" w:eastAsia="es-ES"/>
        </w:rPr>
        <w:t>constitutiva</w:t>
      </w:r>
      <w:r w:rsidR="00B75FD1" w:rsidRPr="00950402">
        <w:rPr>
          <w:rFonts w:ascii="Arial" w:eastAsia="Calibri" w:hAnsi="Arial" w:cs="Arial"/>
          <w:sz w:val="20"/>
          <w:szCs w:val="20"/>
          <w:lang w:val="es-CO" w:eastAsia="es-ES"/>
        </w:rPr>
        <w:t>s</w:t>
      </w:r>
      <w:r w:rsidRPr="00950402">
        <w:rPr>
          <w:rFonts w:ascii="Arial" w:eastAsia="Calibri" w:hAnsi="Arial" w:cs="Arial"/>
          <w:sz w:val="20"/>
          <w:szCs w:val="20"/>
          <w:lang w:val="es-CO" w:eastAsia="es-ES"/>
        </w:rPr>
        <w:t xml:space="preserve"> de debilidad</w:t>
      </w:r>
      <w:r w:rsidR="00ED38A4" w:rsidRPr="00950402">
        <w:rPr>
          <w:rFonts w:ascii="Arial" w:eastAsia="Calibri" w:hAnsi="Arial" w:cs="Arial"/>
          <w:sz w:val="20"/>
          <w:szCs w:val="20"/>
          <w:lang w:val="es-CO" w:eastAsia="es-ES"/>
        </w:rPr>
        <w:t>es (hallazgos)</w:t>
      </w:r>
      <w:r w:rsidRPr="00950402">
        <w:rPr>
          <w:rFonts w:ascii="Arial" w:eastAsia="Calibri" w:hAnsi="Arial" w:cs="Arial"/>
          <w:sz w:val="20"/>
          <w:szCs w:val="20"/>
          <w:lang w:val="es-CO" w:eastAsia="es-ES"/>
        </w:rPr>
        <w:t xml:space="preserve"> del modelo de control interno y resultado</w:t>
      </w:r>
      <w:r w:rsidR="00BD5123" w:rsidRPr="00950402">
        <w:rPr>
          <w:rFonts w:ascii="Arial" w:eastAsia="Calibri" w:hAnsi="Arial" w:cs="Arial"/>
          <w:sz w:val="20"/>
          <w:szCs w:val="20"/>
          <w:lang w:val="es-CO" w:eastAsia="es-ES"/>
        </w:rPr>
        <w:t xml:space="preserve">, por lo </w:t>
      </w:r>
      <w:r w:rsidR="00193328" w:rsidRPr="00950402">
        <w:rPr>
          <w:rFonts w:ascii="Arial" w:eastAsia="Calibri" w:hAnsi="Arial" w:cs="Arial"/>
          <w:sz w:val="20"/>
          <w:szCs w:val="20"/>
          <w:lang w:val="es-CO" w:eastAsia="es-ES"/>
        </w:rPr>
        <w:t>tanto,</w:t>
      </w:r>
      <w:r w:rsidRPr="00950402">
        <w:rPr>
          <w:rFonts w:ascii="Arial" w:eastAsia="Calibri" w:hAnsi="Arial" w:cs="Arial"/>
          <w:sz w:val="20"/>
          <w:szCs w:val="20"/>
          <w:lang w:val="es-CO" w:eastAsia="es-ES"/>
        </w:rPr>
        <w:t xml:space="preserve"> debe</w:t>
      </w:r>
      <w:r w:rsidR="00B75FD1" w:rsidRPr="00950402">
        <w:rPr>
          <w:rFonts w:ascii="Arial" w:eastAsia="Calibri" w:hAnsi="Arial" w:cs="Arial"/>
          <w:sz w:val="20"/>
          <w:szCs w:val="20"/>
          <w:lang w:val="es-CO" w:eastAsia="es-ES"/>
        </w:rPr>
        <w:t>n</w:t>
      </w:r>
      <w:r w:rsidRPr="00950402">
        <w:rPr>
          <w:rFonts w:ascii="Arial" w:eastAsia="Calibri" w:hAnsi="Arial" w:cs="Arial"/>
          <w:sz w:val="20"/>
          <w:szCs w:val="20"/>
          <w:lang w:val="es-CO" w:eastAsia="es-ES"/>
        </w:rPr>
        <w:t xml:space="preserve"> ser objeto de acciones correctivas por parte del líder con el fin de </w:t>
      </w:r>
      <w:r w:rsidR="00AF50DF" w:rsidRPr="00950402">
        <w:rPr>
          <w:rFonts w:ascii="Arial" w:eastAsia="Calibri" w:hAnsi="Arial" w:cs="Arial"/>
          <w:sz w:val="20"/>
          <w:szCs w:val="20"/>
          <w:lang w:val="es-CO" w:eastAsia="es-ES"/>
        </w:rPr>
        <w:t>subsanarla</w:t>
      </w:r>
      <w:r w:rsidR="00BD5123" w:rsidRPr="00950402">
        <w:rPr>
          <w:rFonts w:ascii="Arial" w:eastAsia="Calibri" w:hAnsi="Arial" w:cs="Arial"/>
          <w:sz w:val="20"/>
          <w:szCs w:val="20"/>
          <w:lang w:val="es-CO" w:eastAsia="es-ES"/>
        </w:rPr>
        <w:t>s</w:t>
      </w:r>
      <w:r w:rsidRPr="00950402">
        <w:rPr>
          <w:rFonts w:ascii="Arial" w:eastAsia="Calibri" w:hAnsi="Arial" w:cs="Arial"/>
          <w:sz w:val="20"/>
          <w:szCs w:val="20"/>
          <w:lang w:val="es-CO" w:eastAsia="es-ES"/>
        </w:rPr>
        <w:t>.</w:t>
      </w:r>
    </w:p>
    <w:p w14:paraId="525635F8" w14:textId="77777777" w:rsidR="006A61E9" w:rsidRDefault="006A61E9" w:rsidP="006A61E9">
      <w:pPr>
        <w:spacing w:after="0"/>
        <w:jc w:val="both"/>
        <w:rPr>
          <w:rFonts w:ascii="Arial" w:hAnsi="Arial" w:cs="Arial"/>
          <w:sz w:val="20"/>
          <w:szCs w:val="20"/>
          <w:highlight w:val="green"/>
        </w:rPr>
      </w:pPr>
    </w:p>
    <w:p w14:paraId="40CEDD47" w14:textId="6D167D9F" w:rsidR="006A61E9" w:rsidRPr="00417793" w:rsidRDefault="006A61E9" w:rsidP="006A61E9">
      <w:pPr>
        <w:pStyle w:val="Prrafodelista"/>
        <w:numPr>
          <w:ilvl w:val="0"/>
          <w:numId w:val="37"/>
        </w:numPr>
        <w:spacing w:after="0"/>
        <w:jc w:val="both"/>
        <w:rPr>
          <w:rFonts w:ascii="Arial" w:hAnsi="Arial" w:cs="Arial"/>
          <w:sz w:val="20"/>
          <w:szCs w:val="20"/>
        </w:rPr>
      </w:pPr>
      <w:bookmarkStart w:id="5" w:name="_Hlk532397993"/>
      <w:r w:rsidRPr="00417793">
        <w:rPr>
          <w:rFonts w:ascii="Arial" w:eastAsia="Calibri" w:hAnsi="Arial" w:cs="Arial"/>
          <w:sz w:val="20"/>
          <w:szCs w:val="20"/>
          <w:lang w:val="es-CO" w:eastAsia="es-ES"/>
        </w:rPr>
        <w:t>La falta de actualización en los procesos y procedimientos es una debilidad del sistema de control interno del proceso de presupuesto porque son ellos los que determinan las líneas de quehacer institucional diario.  En esta medida el actuar del procedimiento no está conforme con lo dispuesto en el inciso 1º del artículo 1º, literales b) e i) del artículo 4º de la Ley 87 de 1993, lo señalado en el numeral III. Dimensiones Operativas de MIPG, al afirmar que “</w:t>
      </w:r>
      <w:r w:rsidRPr="00417793">
        <w:rPr>
          <w:rFonts w:ascii="Arial" w:eastAsia="Calibri" w:hAnsi="Arial" w:cs="Arial"/>
          <w:i/>
          <w:sz w:val="18"/>
          <w:szCs w:val="18"/>
          <w:lang w:val="es-CO" w:eastAsia="es-ES"/>
        </w:rPr>
        <w:t>Una vez se tenga clara la ruta de acción y el horizonte al cual se quiere llegar, la entidad ejecuta las actividades planeadas para lograr los resultados y metas a través de procesos y procedimientos claros y una estructura organizacional adecuada, optimizando el uso de recursos y de las TIC, defendiendo jurídicamente sus actuaciones, llevando a cabo mejores procesos de producción normativa y protegiendo el ambiente</w:t>
      </w:r>
      <w:r w:rsidRPr="00417793">
        <w:rPr>
          <w:rFonts w:ascii="Arial" w:eastAsia="Calibri" w:hAnsi="Arial" w:cs="Arial"/>
          <w:sz w:val="20"/>
          <w:szCs w:val="20"/>
          <w:lang w:val="es-CO" w:eastAsia="es-ES"/>
        </w:rPr>
        <w:t xml:space="preserve">”  Lo anterior aumenta el riesgo en la gestión en la medida que los procedimientos son descripciones esenciales para la actividad presupuestaria de la UARIV, sien las potenciales causas el desconocimiento de las normas y metodologías que </w:t>
      </w:r>
      <w:r w:rsidRPr="00417793">
        <w:rPr>
          <w:rFonts w:ascii="Arial" w:eastAsia="Calibri" w:hAnsi="Arial" w:cs="Arial"/>
          <w:sz w:val="20"/>
          <w:szCs w:val="20"/>
          <w:lang w:val="es-CO" w:eastAsia="es-ES"/>
        </w:rPr>
        <w:lastRenderedPageBreak/>
        <w:t>regulan la actualización de procesos y procedimientos o la falta de capacitación, seguimiento o acompañamiento de estos temas por parte de la dependencia rectora en esta materia. (5.1.1)</w:t>
      </w:r>
    </w:p>
    <w:p w14:paraId="6E0C63CE" w14:textId="77777777" w:rsidR="006A61E9" w:rsidRPr="00417793" w:rsidRDefault="006A61E9" w:rsidP="006A61E9">
      <w:pPr>
        <w:spacing w:after="0"/>
        <w:jc w:val="both"/>
        <w:rPr>
          <w:rFonts w:ascii="Arial" w:hAnsi="Arial" w:cs="Arial"/>
          <w:sz w:val="20"/>
          <w:szCs w:val="20"/>
        </w:rPr>
      </w:pPr>
    </w:p>
    <w:p w14:paraId="3061E1A0" w14:textId="2F784F63" w:rsidR="006A61E9" w:rsidRPr="00417793" w:rsidRDefault="006A61E9" w:rsidP="006A61E9">
      <w:pPr>
        <w:pStyle w:val="Prrafodelista"/>
        <w:numPr>
          <w:ilvl w:val="0"/>
          <w:numId w:val="37"/>
        </w:numPr>
        <w:spacing w:after="0"/>
        <w:jc w:val="both"/>
        <w:rPr>
          <w:rFonts w:ascii="Arial" w:eastAsia="Calibri" w:hAnsi="Arial" w:cs="Arial"/>
          <w:sz w:val="20"/>
          <w:szCs w:val="20"/>
          <w:lang w:val="es-CO" w:eastAsia="es-ES"/>
        </w:rPr>
      </w:pPr>
      <w:r w:rsidRPr="00417793">
        <w:rPr>
          <w:rFonts w:ascii="Arial" w:hAnsi="Arial" w:cs="Arial"/>
          <w:sz w:val="20"/>
          <w:szCs w:val="20"/>
        </w:rPr>
        <w:t>Hay debilidad del Sistema de Control Interno en la identificación, administración y tratamiento del mapa de riesgos del procedimiento de Administración presupuestal.</w:t>
      </w:r>
      <w:r w:rsidRPr="00417793">
        <w:rPr>
          <w:rFonts w:ascii="Arial" w:eastAsia="Calibri" w:hAnsi="Arial" w:cs="Arial"/>
          <w:sz w:val="20"/>
          <w:szCs w:val="20"/>
          <w:lang w:val="es-CO" w:eastAsia="es-ES"/>
        </w:rPr>
        <w:t xml:space="preserve"> Lo anterior no está conforme con lo dispuesto en los literales</w:t>
      </w:r>
      <w:r w:rsidRPr="00417793">
        <w:t xml:space="preserve"> a</w:t>
      </w:r>
      <w:r w:rsidRPr="00417793">
        <w:rPr>
          <w:rFonts w:ascii="Arial" w:eastAsia="Calibri" w:hAnsi="Arial" w:cs="Arial"/>
          <w:sz w:val="20"/>
          <w:szCs w:val="20"/>
          <w:lang w:val="es-CO" w:eastAsia="es-ES"/>
        </w:rPr>
        <w:t>), c) y f) del artículo 2° de la Ley 87 de 1993 concordante con lo dispuesto en la Guía de Riesgo del Departamento Administrativo de la Función Pública y la Secretaria de la Transparencia en lo referente a riesgos de corrupción, lo que aumenta el riesgo en la gestión de los quehaceres del procedimiento auditado, siendo las potenciales causas el desconocimiento de las normas y metodologías que regulan la gestión del riesgo ya sea por falta de una adecuada orientación o por la ausencia de procesos de capacitación sobre el tema.  (5.1.3)</w:t>
      </w:r>
    </w:p>
    <w:p w14:paraId="4460179F" w14:textId="77777777" w:rsidR="00E36BB7" w:rsidRPr="004C11AA" w:rsidRDefault="00E36BB7" w:rsidP="00B75FD1">
      <w:pPr>
        <w:spacing w:after="0"/>
        <w:jc w:val="both"/>
        <w:rPr>
          <w:rFonts w:ascii="Arial" w:eastAsia="Calibri" w:hAnsi="Arial" w:cs="Arial"/>
          <w:sz w:val="20"/>
          <w:szCs w:val="20"/>
          <w:lang w:val="es-CO" w:eastAsia="es-ES"/>
        </w:rPr>
      </w:pPr>
    </w:p>
    <w:p w14:paraId="66D852F0" w14:textId="77777777" w:rsidR="00561324" w:rsidRDefault="00561324" w:rsidP="00885224">
      <w:pPr>
        <w:pStyle w:val="Prrafodelista"/>
        <w:numPr>
          <w:ilvl w:val="0"/>
          <w:numId w:val="37"/>
        </w:numPr>
        <w:jc w:val="both"/>
        <w:rPr>
          <w:rFonts w:ascii="Arial" w:eastAsia="Calibri" w:hAnsi="Arial" w:cs="Arial"/>
          <w:sz w:val="20"/>
          <w:szCs w:val="20"/>
          <w:lang w:val="es-CO" w:eastAsia="es-ES"/>
        </w:rPr>
      </w:pPr>
      <w:r w:rsidRPr="00561324">
        <w:rPr>
          <w:rFonts w:ascii="Arial" w:eastAsia="Calibri" w:hAnsi="Arial" w:cs="Arial"/>
          <w:sz w:val="20"/>
          <w:szCs w:val="20"/>
          <w:lang w:val="es-CO" w:eastAsia="es-ES"/>
        </w:rPr>
        <w:t>Es así como el Equipo Auditor vislumbra la necesidad de reforzar el sistema de control inherente al proceso de Gestión Financiera - Administración Presupuestal. En esta medida el actuar del procedimiento no está conforme con lo dispuesto en el literal i) del artículo 4º de la Ley 87 de 1993.</w:t>
      </w:r>
      <w:r w:rsidRPr="00561324">
        <w:rPr>
          <w:rFonts w:ascii="Arial" w:eastAsia="Calibri" w:hAnsi="Arial" w:cs="Arial"/>
          <w:i/>
          <w:sz w:val="20"/>
          <w:szCs w:val="20"/>
          <w:lang w:val="es-CO" w:eastAsia="es-ES"/>
        </w:rPr>
        <w:t xml:space="preserve"> </w:t>
      </w:r>
      <w:r w:rsidRPr="00561324">
        <w:rPr>
          <w:rFonts w:ascii="Arial" w:eastAsia="Calibri" w:hAnsi="Arial" w:cs="Arial"/>
          <w:sz w:val="20"/>
          <w:szCs w:val="20"/>
          <w:lang w:val="es-CO" w:eastAsia="es-ES"/>
        </w:rPr>
        <w:t xml:space="preserve">Para el Equipo Auditor es de vital importancia el componente de control aplicado </w:t>
      </w:r>
      <w:r w:rsidRPr="00561324">
        <w:rPr>
          <w:rFonts w:ascii="Arial" w:hAnsi="Arial" w:cs="Arial"/>
          <w:sz w:val="20"/>
          <w:szCs w:val="20"/>
          <w:lang w:val="es-419"/>
        </w:rPr>
        <w:t>al proceso de</w:t>
      </w:r>
      <w:r w:rsidRPr="00561324">
        <w:rPr>
          <w:rFonts w:ascii="Arial" w:eastAsia="Calibri" w:hAnsi="Arial" w:cs="Arial"/>
          <w:sz w:val="20"/>
          <w:szCs w:val="20"/>
          <w:lang w:val="es-CO" w:eastAsia="es-ES"/>
        </w:rPr>
        <w:t xml:space="preserve"> Gestión Financiera - Administración Presupuestal en la administración de los recursos presupuestados para lograr los resultados esperados, que satisfagan las necesidades de los usuarios de la UARIV. Estos deben estar enmarcados en controles fuertes a la hora de su gestión.</w:t>
      </w:r>
    </w:p>
    <w:p w14:paraId="61317F2C" w14:textId="77777777" w:rsidR="00561324" w:rsidRDefault="00561324" w:rsidP="00885224">
      <w:pPr>
        <w:pStyle w:val="Prrafodelista"/>
        <w:jc w:val="both"/>
        <w:rPr>
          <w:rFonts w:ascii="Arial" w:eastAsia="Calibri" w:hAnsi="Arial" w:cs="Arial"/>
          <w:sz w:val="20"/>
          <w:szCs w:val="20"/>
          <w:lang w:val="es-CO" w:eastAsia="es-ES"/>
        </w:rPr>
      </w:pPr>
    </w:p>
    <w:p w14:paraId="4E5DE108" w14:textId="7CF6E84A" w:rsidR="00C669D2" w:rsidRPr="00CE67F8" w:rsidRDefault="00CE67F8" w:rsidP="00CE67F8">
      <w:pPr>
        <w:pStyle w:val="Prrafodelista"/>
        <w:spacing w:after="0"/>
        <w:jc w:val="both"/>
        <w:rPr>
          <w:rFonts w:ascii="Arial" w:eastAsia="Times New Roman" w:hAnsi="Arial" w:cs="Arial"/>
          <w:sz w:val="10"/>
          <w:szCs w:val="10"/>
          <w:lang w:val="es-ES_tradnl" w:eastAsia="es-ES"/>
        </w:rPr>
      </w:pPr>
      <w:r>
        <w:rPr>
          <w:rFonts w:eastAsia="Cambria"/>
          <w:noProof/>
          <w:sz w:val="20"/>
          <w:szCs w:val="20"/>
          <w:lang w:eastAsia="es-ES"/>
        </w:rPr>
        <mc:AlternateContent>
          <mc:Choice Requires="wps">
            <w:drawing>
              <wp:anchor distT="0" distB="0" distL="114300" distR="114300" simplePos="0" relativeHeight="251677696" behindDoc="0" locked="0" layoutInCell="1" allowOverlap="1" wp14:anchorId="6836C0C7" wp14:editId="7E9192BE">
                <wp:simplePos x="0" y="0"/>
                <wp:positionH relativeFrom="column">
                  <wp:posOffset>4224459</wp:posOffset>
                </wp:positionH>
                <wp:positionV relativeFrom="paragraph">
                  <wp:posOffset>3496163</wp:posOffset>
                </wp:positionV>
                <wp:extent cx="798118" cy="290705"/>
                <wp:effectExtent l="57150" t="19050" r="21590" b="90805"/>
                <wp:wrapNone/>
                <wp:docPr id="46" name="Elipse 46"/>
                <wp:cNvGraphicFramePr/>
                <a:graphic xmlns:a="http://schemas.openxmlformats.org/drawingml/2006/main">
                  <a:graphicData uri="http://schemas.microsoft.com/office/word/2010/wordprocessingShape">
                    <wps:wsp>
                      <wps:cNvSpPr/>
                      <wps:spPr>
                        <a:xfrm>
                          <a:off x="0" y="0"/>
                          <a:ext cx="798118" cy="290705"/>
                        </a:xfrm>
                        <a:prstGeom prst="ellipse">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C826517" id="Elipse 46" o:spid="_x0000_s1026" style="position:absolute;margin-left:332.65pt;margin-top:275.3pt;width:62.85pt;height:22.9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" filled="f" strokecolor="#3c3c3c [3044]">
                <v:shadow on="t" color="black" opacity="22937f" origin=",.5" offset="0,.63889mm"/>
              </v:oval>
            </w:pict>
          </mc:Fallback>
        </mc:AlternateContent>
      </w:r>
      <w:r w:rsidR="00561324" w:rsidRPr="00561324">
        <w:rPr>
          <w:rFonts w:ascii="Arial" w:eastAsia="Calibri" w:hAnsi="Arial" w:cs="Arial"/>
          <w:sz w:val="20"/>
          <w:szCs w:val="20"/>
          <w:lang w:val="es-CO" w:eastAsia="es-ES"/>
        </w:rPr>
        <w:t>Sin embargo, s</w:t>
      </w:r>
      <w:proofErr w:type="spellStart"/>
      <w:r w:rsidR="00561324" w:rsidRPr="00561324">
        <w:rPr>
          <w:rFonts w:ascii="Arial" w:eastAsia="Times New Roman" w:hAnsi="Arial" w:cs="Arial"/>
          <w:sz w:val="20"/>
          <w:szCs w:val="20"/>
          <w:lang w:val="es-ES_tradnl" w:eastAsia="es-ES"/>
        </w:rPr>
        <w:t>e</w:t>
      </w:r>
      <w:proofErr w:type="spellEnd"/>
      <w:r w:rsidR="00561324" w:rsidRPr="00561324">
        <w:rPr>
          <w:rFonts w:ascii="Arial" w:eastAsia="Times New Roman" w:hAnsi="Arial" w:cs="Arial"/>
          <w:sz w:val="20"/>
          <w:szCs w:val="20"/>
          <w:lang w:val="es-ES_tradnl" w:eastAsia="es-ES"/>
        </w:rPr>
        <w:t xml:space="preserve"> evidencia que existe una matriz denominada </w:t>
      </w:r>
      <w:r w:rsidR="00561324" w:rsidRPr="00561324">
        <w:rPr>
          <w:rFonts w:ascii="Arial" w:eastAsia="Times New Roman" w:hAnsi="Arial" w:cs="Arial"/>
          <w:i/>
          <w:sz w:val="18"/>
          <w:szCs w:val="18"/>
          <w:lang w:val="es-ES_tradnl" w:eastAsia="es-ES"/>
        </w:rPr>
        <w:t>“Ficha Técnica Control Ejecución Proveedores”</w:t>
      </w:r>
      <w:r w:rsidR="00561324" w:rsidRPr="00561324">
        <w:rPr>
          <w:rFonts w:ascii="Arial" w:eastAsia="Times New Roman" w:hAnsi="Arial" w:cs="Arial"/>
          <w:sz w:val="20"/>
          <w:szCs w:val="20"/>
          <w:lang w:val="es-ES_tradnl" w:eastAsia="es-ES"/>
        </w:rPr>
        <w:t xml:space="preserve">, la cual el proceso implementa como control del seguimiento de la ejecución presupuestal, siendo esta una herramienta que genera alerta para el supervisor, toda vez que muestra el porcentaje de ejecución de cada uno de los contratos a su cargo. No obstante, se observa que la misma presenta una inconsistencia en la formulación del total ejecutado y por ende refleja una alteración en el saldo por ejecutar, el cual es incoherente con el porcentaje de ejecución que se muestra en la casilla denominada </w:t>
      </w:r>
      <w:r w:rsidR="00561324" w:rsidRPr="00561324">
        <w:rPr>
          <w:rFonts w:ascii="Arial" w:eastAsia="Times New Roman" w:hAnsi="Arial" w:cs="Arial"/>
          <w:i/>
          <w:sz w:val="18"/>
          <w:szCs w:val="18"/>
          <w:lang w:val="es-ES_tradnl" w:eastAsia="es-ES"/>
        </w:rPr>
        <w:t>“% de ejecución”.</w:t>
      </w:r>
      <w:r w:rsidR="00561324" w:rsidRPr="00561324">
        <w:rPr>
          <w:rFonts w:ascii="Arial" w:eastAsia="Times New Roman" w:hAnsi="Arial" w:cs="Arial"/>
          <w:sz w:val="20"/>
          <w:szCs w:val="20"/>
          <w:lang w:val="es-ES_tradnl" w:eastAsia="es-ES"/>
        </w:rPr>
        <w:t xml:space="preserve"> Como soporte de lo anterior se muestra en la siguiente imagen:</w:t>
      </w:r>
      <w:r w:rsidR="00561324" w:rsidRPr="00AC3CE8">
        <w:rPr>
          <w:rFonts w:eastAsia="Cambria"/>
          <w:noProof/>
          <w:sz w:val="20"/>
          <w:szCs w:val="20"/>
          <w:lang w:eastAsia="es-ES"/>
        </w:rPr>
        <w:drawing>
          <wp:inline distT="0" distB="0" distL="0" distR="0" wp14:anchorId="30D1297E" wp14:editId="297898F7">
            <wp:extent cx="5143500" cy="2918460"/>
            <wp:effectExtent l="0" t="0" r="0" b="0"/>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b="5143"/>
                    <a:stretch/>
                  </pic:blipFill>
                  <pic:spPr bwMode="auto">
                    <a:xfrm>
                      <a:off x="0" y="0"/>
                      <a:ext cx="5171565" cy="2934384"/>
                    </a:xfrm>
                    <a:prstGeom prst="rect">
                      <a:avLst/>
                    </a:prstGeom>
                    <a:ln>
                      <a:noFill/>
                    </a:ln>
                    <a:extLst>
                      <a:ext uri="{53640926-AAD7-44D8-BBD7-CCE9431645EC}">
                        <a14:shadowObscured xmlns:a14="http://schemas.microsoft.com/office/drawing/2010/main"/>
                      </a:ext>
                    </a:extLst>
                  </pic:spPr>
                </pic:pic>
              </a:graphicData>
            </a:graphic>
          </wp:inline>
        </w:drawing>
      </w:r>
      <w:r w:rsidR="008E0CB2">
        <w:rPr>
          <w:rFonts w:ascii="Arial" w:eastAsia="Times New Roman" w:hAnsi="Arial" w:cs="Arial"/>
          <w:sz w:val="10"/>
          <w:szCs w:val="10"/>
          <w:lang w:val="es-ES_tradnl" w:eastAsia="es-ES"/>
        </w:rPr>
        <w:t xml:space="preserve">                 </w:t>
      </w:r>
      <w:r w:rsidR="00561324" w:rsidRPr="00A05B51">
        <w:rPr>
          <w:rFonts w:ascii="Arial" w:eastAsia="Times New Roman" w:hAnsi="Arial" w:cs="Arial"/>
          <w:sz w:val="10"/>
          <w:szCs w:val="10"/>
          <w:lang w:val="es-ES_tradnl" w:eastAsia="es-ES"/>
        </w:rPr>
        <w:t xml:space="preserve">Fuente: </w:t>
      </w:r>
      <w:r w:rsidR="00561324" w:rsidRPr="00605E87">
        <w:rPr>
          <w:rFonts w:ascii="Arial" w:eastAsia="Times New Roman" w:hAnsi="Arial" w:cs="Arial"/>
          <w:sz w:val="10"/>
          <w:szCs w:val="10"/>
          <w:lang w:val="es-ES_tradnl" w:eastAsia="es-ES"/>
        </w:rPr>
        <w:t>Ficha Técnica Control Ejecución Proveedores</w:t>
      </w:r>
      <w:r>
        <w:rPr>
          <w:rFonts w:ascii="Arial" w:eastAsia="Times New Roman" w:hAnsi="Arial" w:cs="Arial"/>
          <w:sz w:val="10"/>
          <w:szCs w:val="10"/>
          <w:lang w:val="es-ES_tradnl" w:eastAsia="es-ES"/>
        </w:rPr>
        <w:t>1190-EUCOL S.A.</w:t>
      </w:r>
    </w:p>
    <w:p w14:paraId="426E4330" w14:textId="7E383BDF" w:rsidR="008E0CB2" w:rsidRPr="008E0CB2" w:rsidRDefault="00561324" w:rsidP="00885224">
      <w:pPr>
        <w:spacing w:after="0"/>
        <w:ind w:left="720"/>
        <w:contextualSpacing/>
        <w:jc w:val="both"/>
        <w:rPr>
          <w:rFonts w:ascii="Arial" w:eastAsia="Times New Roman" w:hAnsi="Arial" w:cs="Arial"/>
          <w:sz w:val="10"/>
          <w:szCs w:val="10"/>
          <w:lang w:val="es-ES_tradnl" w:eastAsia="es-ES"/>
        </w:rPr>
      </w:pPr>
      <w:r w:rsidRPr="00AC3CE8">
        <w:rPr>
          <w:rFonts w:ascii="Arial" w:eastAsia="Times New Roman" w:hAnsi="Arial" w:cs="Arial"/>
          <w:sz w:val="20"/>
          <w:szCs w:val="20"/>
          <w:lang w:val="es-ES_tradnl" w:eastAsia="es-ES"/>
        </w:rPr>
        <w:lastRenderedPageBreak/>
        <w:t>Dicha situación aumenta el riesgo en la lectura, interpretación y toma de decisiones con respecto a la información suministrada por parte del proceso de Gestión Financiera a los supervisores</w:t>
      </w:r>
      <w:r>
        <w:rPr>
          <w:rFonts w:ascii="Arial" w:eastAsia="Times New Roman" w:hAnsi="Arial" w:cs="Arial"/>
          <w:sz w:val="20"/>
          <w:szCs w:val="20"/>
          <w:lang w:val="es-ES_tradnl" w:eastAsia="es-ES"/>
        </w:rPr>
        <w:t xml:space="preserve">, incumpliendo lo establecido en </w:t>
      </w:r>
      <w:r w:rsidRPr="00561324">
        <w:rPr>
          <w:rFonts w:ascii="Arial" w:eastAsia="Times New Roman" w:hAnsi="Arial" w:cs="Arial"/>
          <w:sz w:val="20"/>
          <w:szCs w:val="20"/>
          <w:lang w:val="es-ES_tradnl" w:eastAsia="es-ES"/>
        </w:rPr>
        <w:t xml:space="preserve">el </w:t>
      </w:r>
      <w:r w:rsidRPr="00561324">
        <w:rPr>
          <w:rFonts w:ascii="Arial" w:eastAsia="Calibri" w:hAnsi="Arial" w:cs="Arial"/>
          <w:sz w:val="20"/>
          <w:szCs w:val="20"/>
          <w:lang w:val="es-CO" w:eastAsia="es-ES"/>
        </w:rPr>
        <w:t>en el literal e) del artículo 2º y literal j) del artículo 4º de la Ley 87 de 1993</w:t>
      </w:r>
      <w:r w:rsidRPr="00561324">
        <w:rPr>
          <w:rFonts w:ascii="Arial" w:eastAsia="Times New Roman" w:hAnsi="Arial" w:cs="Arial"/>
          <w:sz w:val="20"/>
          <w:szCs w:val="20"/>
          <w:lang w:val="es-ES_tradnl" w:eastAsia="es-ES"/>
        </w:rPr>
        <w:t>.</w:t>
      </w:r>
      <w:r>
        <w:rPr>
          <w:rFonts w:ascii="Arial" w:eastAsia="Times New Roman" w:hAnsi="Arial" w:cs="Arial"/>
          <w:sz w:val="20"/>
          <w:szCs w:val="20"/>
          <w:lang w:val="es-ES_tradnl" w:eastAsia="es-ES"/>
        </w:rPr>
        <w:t xml:space="preserve"> (5.1.4)</w:t>
      </w:r>
      <w:r w:rsidR="00E27629">
        <w:rPr>
          <w:rFonts w:ascii="Arial" w:eastAsia="Times New Roman" w:hAnsi="Arial" w:cs="Arial"/>
          <w:sz w:val="20"/>
          <w:szCs w:val="20"/>
          <w:lang w:val="es-ES_tradnl" w:eastAsia="es-ES"/>
        </w:rPr>
        <w:t>.</w:t>
      </w:r>
    </w:p>
    <w:p w14:paraId="5DF79C91" w14:textId="77777777" w:rsidR="008E0CB2" w:rsidRDefault="008E0CB2" w:rsidP="00885224">
      <w:pPr>
        <w:spacing w:after="0"/>
        <w:ind w:left="360"/>
        <w:contextualSpacing/>
        <w:jc w:val="both"/>
        <w:rPr>
          <w:rFonts w:ascii="Arial" w:eastAsia="Times New Roman" w:hAnsi="Arial" w:cs="Arial"/>
          <w:sz w:val="20"/>
          <w:szCs w:val="20"/>
          <w:lang w:val="es-ES_tradnl" w:eastAsia="es-ES"/>
        </w:rPr>
      </w:pPr>
    </w:p>
    <w:p w14:paraId="0D49EE34" w14:textId="1042B5C6" w:rsidR="00E27629" w:rsidRPr="008E0CB2" w:rsidRDefault="00E27629" w:rsidP="00885224">
      <w:pPr>
        <w:pStyle w:val="Prrafodelista"/>
        <w:numPr>
          <w:ilvl w:val="0"/>
          <w:numId w:val="37"/>
        </w:numPr>
        <w:spacing w:after="0"/>
        <w:jc w:val="both"/>
        <w:rPr>
          <w:rFonts w:ascii="Arial" w:eastAsia="Times New Roman" w:hAnsi="Arial" w:cs="Arial"/>
          <w:sz w:val="20"/>
          <w:szCs w:val="20"/>
          <w:lang w:val="es-ES_tradnl" w:eastAsia="es-ES"/>
        </w:rPr>
      </w:pPr>
      <w:r w:rsidRPr="008E0CB2">
        <w:rPr>
          <w:rFonts w:ascii="Arial" w:eastAsia="Calibri" w:hAnsi="Arial" w:cs="Arial"/>
          <w:sz w:val="20"/>
          <w:szCs w:val="20"/>
          <w:lang w:val="es-CO" w:eastAsia="es-ES"/>
        </w:rPr>
        <w:t>Teniendo en cuenta lo señalado en el MIPG en lo referente al seguimiento y evaluación del desempeño institucional en lo que compete a evaluar la gestión del riesgo en la entidad, donde se indica que: “</w:t>
      </w:r>
      <w:r w:rsidRPr="008E0CB2">
        <w:rPr>
          <w:rFonts w:ascii="Arial" w:eastAsia="Calibri" w:hAnsi="Arial" w:cs="Arial"/>
          <w:i/>
          <w:sz w:val="18"/>
          <w:szCs w:val="18"/>
          <w:lang w:val="es-CO" w:eastAsia="es-ES"/>
        </w:rPr>
        <w:t xml:space="preserve">Cuando se detecten desviaciones en los avances de gestión e indicadores, o posibilidad de materialización de un riesgo, es indispensable que el responsable establezca las acciones de mejora de manera inmediata. La utilidad de este ejercicio es apoyar la toma de decisiones para lograr mejores resultados, gestionar con mayor eficacia y eficiencia los recursos y facilitar la rendición de cuentas a los ciudadanos e informes a los organismos de control”. </w:t>
      </w:r>
    </w:p>
    <w:p w14:paraId="5A9AC578" w14:textId="77777777" w:rsidR="00BE6E5E" w:rsidRDefault="00BE6E5E" w:rsidP="00885224">
      <w:pPr>
        <w:pStyle w:val="Prrafodelista"/>
        <w:spacing w:after="0"/>
        <w:jc w:val="both"/>
        <w:rPr>
          <w:rFonts w:ascii="Arial" w:eastAsia="Times New Roman" w:hAnsi="Arial" w:cs="Arial"/>
          <w:sz w:val="20"/>
          <w:szCs w:val="20"/>
          <w:lang w:val="es-ES_tradnl" w:eastAsia="es-ES"/>
        </w:rPr>
      </w:pPr>
    </w:p>
    <w:p w14:paraId="64AF569B" w14:textId="740C66AB" w:rsidR="006C2210" w:rsidRPr="00E27629" w:rsidRDefault="00E27629" w:rsidP="00885224">
      <w:pPr>
        <w:pStyle w:val="Prrafodelista"/>
        <w:spacing w:after="0"/>
        <w:jc w:val="both"/>
        <w:rPr>
          <w:rFonts w:ascii="Arial" w:eastAsia="Calibri" w:hAnsi="Arial" w:cs="Arial"/>
          <w:i/>
          <w:sz w:val="18"/>
          <w:szCs w:val="18"/>
          <w:lang w:val="es-CO" w:eastAsia="es-ES"/>
        </w:rPr>
      </w:pPr>
      <w:r w:rsidRPr="00E27629">
        <w:rPr>
          <w:rFonts w:ascii="Arial" w:eastAsia="Times New Roman" w:hAnsi="Arial" w:cs="Arial"/>
          <w:sz w:val="20"/>
          <w:szCs w:val="20"/>
          <w:lang w:val="es-ES_tradnl" w:eastAsia="es-ES"/>
        </w:rPr>
        <w:t xml:space="preserve">Por consiguiente, en lo que respecta al PAC, se observa el </w:t>
      </w:r>
      <w:r w:rsidR="00D75EE5">
        <w:rPr>
          <w:rFonts w:ascii="Arial" w:eastAsia="Times New Roman" w:hAnsi="Arial" w:cs="Arial"/>
          <w:sz w:val="20"/>
          <w:szCs w:val="20"/>
          <w:lang w:val="es-ES_tradnl" w:eastAsia="es-ES"/>
        </w:rPr>
        <w:t xml:space="preserve">no </w:t>
      </w:r>
      <w:r w:rsidRPr="00E27629">
        <w:rPr>
          <w:rFonts w:ascii="Arial" w:eastAsia="Times New Roman" w:hAnsi="Arial" w:cs="Arial"/>
          <w:sz w:val="20"/>
          <w:szCs w:val="20"/>
          <w:lang w:val="es-ES_tradnl" w:eastAsia="es-ES"/>
        </w:rPr>
        <w:t>cumplimiento por parte del Grupo de Gestión Financiera en este tema, toda vez que a pesar del control que se ejerce a través de los correos electrónicos enviados mensualmente a los jefes de las dependencias responsables de su ejecución, se evidencia que existe debilidad frente a la realización de acciones de mejora inmediatas tales como socializaciones que sensibilicen y concienticen acerca de la importancia y las consecuencias que conlleva una baja ejecución del PAC de acuerdo con las políticas establecidas por el Ministerio de Hacienda.</w:t>
      </w:r>
      <w:r w:rsidR="00DA6DE2">
        <w:rPr>
          <w:rFonts w:ascii="Arial" w:eastAsia="Times New Roman" w:hAnsi="Arial" w:cs="Arial"/>
          <w:sz w:val="20"/>
          <w:szCs w:val="20"/>
          <w:lang w:val="es-ES_tradnl" w:eastAsia="es-ES"/>
        </w:rPr>
        <w:t xml:space="preserve"> (5.1.5)</w:t>
      </w:r>
    </w:p>
    <w:p w14:paraId="7F7EA8BF" w14:textId="77777777" w:rsidR="006C2210" w:rsidRDefault="006C2210" w:rsidP="00885224">
      <w:pPr>
        <w:spacing w:after="0"/>
        <w:jc w:val="both"/>
        <w:rPr>
          <w:rFonts w:ascii="Arial" w:eastAsia="Calibri" w:hAnsi="Arial" w:cs="Arial"/>
          <w:sz w:val="20"/>
          <w:szCs w:val="20"/>
          <w:lang w:val="es-CO" w:eastAsia="es-ES"/>
        </w:rPr>
      </w:pPr>
    </w:p>
    <w:p w14:paraId="455DEC42" w14:textId="1E9521F1" w:rsidR="00603402" w:rsidRPr="00603402" w:rsidRDefault="00603402" w:rsidP="00885224">
      <w:pPr>
        <w:pStyle w:val="Prrafodelista"/>
        <w:numPr>
          <w:ilvl w:val="0"/>
          <w:numId w:val="37"/>
        </w:numPr>
        <w:spacing w:after="0" w:line="276" w:lineRule="auto"/>
        <w:jc w:val="both"/>
        <w:rPr>
          <w:rFonts w:ascii="Arial" w:eastAsia="Calibri" w:hAnsi="Arial" w:cs="Arial"/>
          <w:sz w:val="20"/>
          <w:szCs w:val="20"/>
          <w:lang w:val="es-ES_tradnl" w:eastAsia="es-ES"/>
        </w:rPr>
      </w:pPr>
      <w:r w:rsidRPr="00603402">
        <w:rPr>
          <w:rFonts w:ascii="Arial" w:eastAsia="Calibri" w:hAnsi="Arial" w:cs="Arial"/>
          <w:sz w:val="20"/>
          <w:szCs w:val="20"/>
          <w:lang w:eastAsia="es-ES"/>
        </w:rPr>
        <w:t>A</w:t>
      </w:r>
      <w:r w:rsidRPr="00603402">
        <w:rPr>
          <w:rFonts w:ascii="Arial" w:eastAsia="Times New Roman" w:hAnsi="Arial" w:cs="Arial"/>
          <w:sz w:val="20"/>
          <w:szCs w:val="20"/>
          <w:lang w:val="es-ES_tradnl" w:eastAsia="es-ES"/>
        </w:rPr>
        <w:t xml:space="preserve"> pesar de que la actividad de efectuar las proyecciones está a cargo de la Oficina Asesora de Planeación, según lo dispuesto en el literal d) y e) del artículo 2º de la Ley 87 de 1993, el Grupo de Gestión Financiera carece de conocimiento con relación al desarrollo y cumplimiento de los compromisos y obligaciones frente a las proyecciones establecidas para la vigencia. Esta situación conlleva a que el sistema de control interno presente debilidad en la evaluación, seguimiento, gestión y control organizacional, que permita generar alertas a las dependencias responsables de su cumplimiento y por ende coadyuve al aseguramiento, oportunidad</w:t>
      </w:r>
      <w:r w:rsidRPr="00603402">
        <w:rPr>
          <w:rFonts w:ascii="Arial" w:eastAsia="Calibri" w:hAnsi="Arial" w:cs="Arial"/>
          <w:sz w:val="20"/>
          <w:szCs w:val="20"/>
          <w:lang w:val="es-ES_tradnl" w:eastAsia="es-ES"/>
        </w:rPr>
        <w:t xml:space="preserve"> y confiabilidad tanto de la información y registros.</w:t>
      </w:r>
      <w:r>
        <w:rPr>
          <w:rFonts w:ascii="Arial" w:eastAsia="Calibri" w:hAnsi="Arial" w:cs="Arial"/>
          <w:sz w:val="20"/>
          <w:szCs w:val="20"/>
          <w:lang w:val="es-ES_tradnl" w:eastAsia="es-ES"/>
        </w:rPr>
        <w:t xml:space="preserve"> (5.5)</w:t>
      </w:r>
    </w:p>
    <w:bookmarkEnd w:id="5"/>
    <w:p w14:paraId="18598001" w14:textId="77777777" w:rsidR="00AE398B" w:rsidRPr="00AE398B" w:rsidRDefault="00AE398B" w:rsidP="00AE398B">
      <w:pPr>
        <w:pStyle w:val="Prrafodelista"/>
        <w:rPr>
          <w:rFonts w:ascii="Arial" w:eastAsia="Calibri" w:hAnsi="Arial" w:cs="Arial"/>
          <w:sz w:val="20"/>
          <w:szCs w:val="20"/>
          <w:lang w:val="es-CO" w:eastAsia="es-ES"/>
        </w:rPr>
      </w:pPr>
    </w:p>
    <w:p w14:paraId="24A1A27D" w14:textId="77777777" w:rsidR="00E3134D" w:rsidRDefault="00AF50DF" w:rsidP="00A97CC5">
      <w:pPr>
        <w:pStyle w:val="Prrafodelista"/>
        <w:numPr>
          <w:ilvl w:val="0"/>
          <w:numId w:val="2"/>
        </w:numPr>
        <w:spacing w:after="0"/>
        <w:jc w:val="both"/>
        <w:rPr>
          <w:rFonts w:ascii="Arial" w:eastAsia="Calibri" w:hAnsi="Arial" w:cs="Arial"/>
          <w:b/>
          <w:sz w:val="20"/>
          <w:szCs w:val="20"/>
          <w:lang w:val="es-CO" w:eastAsia="es-ES"/>
        </w:rPr>
      </w:pPr>
      <w:r w:rsidRPr="004C11AA">
        <w:rPr>
          <w:rFonts w:ascii="Arial" w:eastAsia="Calibri" w:hAnsi="Arial" w:cs="Arial"/>
          <w:b/>
          <w:sz w:val="20"/>
          <w:szCs w:val="20"/>
          <w:lang w:val="es-CO" w:eastAsia="es-ES"/>
        </w:rPr>
        <w:t>ASPECTOS SOBRESALIENTES</w:t>
      </w:r>
    </w:p>
    <w:p w14:paraId="31E30432" w14:textId="77777777" w:rsidR="00950402" w:rsidRDefault="00950402" w:rsidP="00950402">
      <w:pPr>
        <w:spacing w:after="0"/>
        <w:jc w:val="both"/>
        <w:rPr>
          <w:rFonts w:ascii="Arial" w:eastAsia="Calibri" w:hAnsi="Arial" w:cs="Arial"/>
          <w:sz w:val="20"/>
          <w:szCs w:val="20"/>
          <w:lang w:val="es-CO" w:eastAsia="es-ES"/>
        </w:rPr>
      </w:pPr>
    </w:p>
    <w:p w14:paraId="05933617" w14:textId="67834460" w:rsidR="00E3134D" w:rsidRPr="00950402" w:rsidRDefault="00ED38A4" w:rsidP="00950402">
      <w:pPr>
        <w:spacing w:after="0"/>
        <w:jc w:val="both"/>
        <w:rPr>
          <w:rFonts w:ascii="Arial" w:eastAsia="Calibri" w:hAnsi="Arial" w:cs="Arial"/>
          <w:sz w:val="20"/>
          <w:szCs w:val="20"/>
          <w:lang w:val="es-CO" w:eastAsia="es-ES"/>
        </w:rPr>
      </w:pPr>
      <w:r w:rsidRPr="00950402">
        <w:rPr>
          <w:rFonts w:ascii="Arial" w:eastAsia="Calibri" w:hAnsi="Arial" w:cs="Arial"/>
          <w:sz w:val="20"/>
          <w:szCs w:val="20"/>
          <w:lang w:val="es-CO" w:eastAsia="es-ES"/>
        </w:rPr>
        <w:t xml:space="preserve">El Grupo Auditor ha evidenciado como aspectos positivos en la gestión del proceso </w:t>
      </w:r>
      <w:r w:rsidR="00AE398B" w:rsidRPr="00950402">
        <w:rPr>
          <w:rFonts w:ascii="Arial" w:eastAsia="Calibri" w:hAnsi="Arial" w:cs="Arial"/>
          <w:sz w:val="20"/>
          <w:szCs w:val="20"/>
          <w:lang w:val="es-CO" w:eastAsia="es-ES"/>
        </w:rPr>
        <w:t xml:space="preserve">de Gestión Financiera y al procedimiento </w:t>
      </w:r>
      <w:r w:rsidR="00366648" w:rsidRPr="00950402">
        <w:rPr>
          <w:rFonts w:ascii="Arial" w:eastAsia="Calibri" w:hAnsi="Arial" w:cs="Arial"/>
          <w:sz w:val="20"/>
          <w:szCs w:val="20"/>
          <w:lang w:val="es-CO" w:eastAsia="es-ES"/>
        </w:rPr>
        <w:t xml:space="preserve">de </w:t>
      </w:r>
      <w:r w:rsidR="00AE398B" w:rsidRPr="00950402">
        <w:rPr>
          <w:rFonts w:ascii="Arial" w:eastAsia="Calibri" w:hAnsi="Arial" w:cs="Arial"/>
          <w:sz w:val="20"/>
          <w:szCs w:val="20"/>
          <w:lang w:val="es-CO" w:eastAsia="es-ES"/>
        </w:rPr>
        <w:t>administración</w:t>
      </w:r>
      <w:r w:rsidR="00366648" w:rsidRPr="00950402">
        <w:rPr>
          <w:rFonts w:ascii="Arial" w:eastAsia="Calibri" w:hAnsi="Arial" w:cs="Arial"/>
          <w:sz w:val="20"/>
          <w:szCs w:val="20"/>
          <w:lang w:val="es-CO" w:eastAsia="es-ES"/>
        </w:rPr>
        <w:t xml:space="preserve"> presupuestal lo siguiente:</w:t>
      </w:r>
    </w:p>
    <w:p w14:paraId="2CDF2C5E" w14:textId="77777777" w:rsidR="00E3134D" w:rsidRDefault="00E3134D" w:rsidP="00E3134D">
      <w:pPr>
        <w:pStyle w:val="Prrafodelista"/>
        <w:spacing w:after="0"/>
        <w:ind w:left="360"/>
        <w:jc w:val="both"/>
        <w:rPr>
          <w:rFonts w:ascii="Arial" w:eastAsia="Calibri" w:hAnsi="Arial" w:cs="Arial"/>
          <w:sz w:val="20"/>
          <w:szCs w:val="20"/>
          <w:lang w:val="es-CO" w:eastAsia="es-ES"/>
        </w:rPr>
      </w:pPr>
    </w:p>
    <w:p w14:paraId="13D3F2A6" w14:textId="77777777" w:rsidR="00E3134D" w:rsidRPr="00950402" w:rsidRDefault="00366648" w:rsidP="00950402">
      <w:pPr>
        <w:pStyle w:val="Prrafodelista"/>
        <w:numPr>
          <w:ilvl w:val="0"/>
          <w:numId w:val="42"/>
        </w:numPr>
        <w:spacing w:after="0"/>
        <w:jc w:val="both"/>
        <w:rPr>
          <w:rFonts w:ascii="Arial" w:eastAsia="Calibri" w:hAnsi="Arial" w:cs="Arial"/>
          <w:sz w:val="20"/>
          <w:szCs w:val="20"/>
          <w:lang w:val="es-CO" w:eastAsia="es-ES"/>
        </w:rPr>
      </w:pPr>
      <w:r w:rsidRPr="00950402">
        <w:rPr>
          <w:rFonts w:ascii="Arial" w:eastAsia="Calibri" w:hAnsi="Arial" w:cs="Arial"/>
          <w:sz w:val="20"/>
          <w:szCs w:val="20"/>
          <w:lang w:val="es-CO" w:eastAsia="es-ES"/>
        </w:rPr>
        <w:t xml:space="preserve">Elaboración e implementación de herramientas de control </w:t>
      </w:r>
      <w:r w:rsidR="006975E6" w:rsidRPr="00950402">
        <w:rPr>
          <w:rFonts w:ascii="Arial" w:eastAsia="Calibri" w:hAnsi="Arial" w:cs="Arial"/>
          <w:sz w:val="20"/>
          <w:szCs w:val="20"/>
          <w:lang w:val="es-CO" w:eastAsia="es-ES"/>
        </w:rPr>
        <w:t>para supervisores de contratos.</w:t>
      </w:r>
    </w:p>
    <w:p w14:paraId="2509A695" w14:textId="77777777" w:rsidR="00E3134D" w:rsidRDefault="00E3134D" w:rsidP="00E3134D">
      <w:pPr>
        <w:pStyle w:val="Prrafodelista"/>
        <w:spacing w:after="0"/>
        <w:ind w:left="1080"/>
        <w:jc w:val="both"/>
        <w:rPr>
          <w:rFonts w:ascii="Arial" w:eastAsia="Calibri" w:hAnsi="Arial" w:cs="Arial"/>
          <w:sz w:val="20"/>
          <w:szCs w:val="20"/>
          <w:lang w:val="es-CO" w:eastAsia="es-ES"/>
        </w:rPr>
      </w:pPr>
    </w:p>
    <w:p w14:paraId="0A9B4F94" w14:textId="77777777" w:rsidR="00E3134D" w:rsidRPr="00950402" w:rsidRDefault="006975E6" w:rsidP="00950402">
      <w:pPr>
        <w:pStyle w:val="Prrafodelista"/>
        <w:numPr>
          <w:ilvl w:val="0"/>
          <w:numId w:val="42"/>
        </w:numPr>
        <w:spacing w:after="0"/>
        <w:jc w:val="both"/>
        <w:rPr>
          <w:rFonts w:ascii="Arial" w:eastAsia="Calibri" w:hAnsi="Arial" w:cs="Arial"/>
          <w:sz w:val="20"/>
          <w:szCs w:val="20"/>
          <w:lang w:val="es-CO" w:eastAsia="es-ES"/>
        </w:rPr>
      </w:pPr>
      <w:r w:rsidRPr="00950402">
        <w:rPr>
          <w:rFonts w:ascii="Arial" w:eastAsia="Calibri" w:hAnsi="Arial" w:cs="Arial"/>
          <w:sz w:val="20"/>
          <w:szCs w:val="20"/>
          <w:lang w:val="es-CO" w:eastAsia="es-ES"/>
        </w:rPr>
        <w:t>Herramienta de control para realizar s</w:t>
      </w:r>
      <w:r w:rsidR="00366648" w:rsidRPr="00950402">
        <w:rPr>
          <w:rFonts w:ascii="Arial" w:eastAsia="Calibri" w:hAnsi="Arial" w:cs="Arial"/>
          <w:sz w:val="20"/>
          <w:szCs w:val="20"/>
          <w:lang w:val="es-CO" w:eastAsia="es-ES"/>
        </w:rPr>
        <w:t>eguimiento a cuentas de cobro a contratistas de prestación de servicio</w:t>
      </w:r>
      <w:r w:rsidRPr="00950402">
        <w:rPr>
          <w:rFonts w:ascii="Arial" w:eastAsia="Calibri" w:hAnsi="Arial" w:cs="Arial"/>
          <w:sz w:val="20"/>
          <w:szCs w:val="20"/>
          <w:lang w:val="es-CO" w:eastAsia="es-ES"/>
        </w:rPr>
        <w:t>.</w:t>
      </w:r>
    </w:p>
    <w:p w14:paraId="795CAD99" w14:textId="77777777" w:rsidR="00950402" w:rsidRDefault="00950402" w:rsidP="00950402">
      <w:pPr>
        <w:spacing w:after="0"/>
        <w:jc w:val="both"/>
        <w:rPr>
          <w:rFonts w:ascii="Arial" w:eastAsia="Calibri" w:hAnsi="Arial" w:cs="Arial"/>
          <w:sz w:val="20"/>
          <w:szCs w:val="20"/>
          <w:lang w:val="es-CO" w:eastAsia="es-ES"/>
        </w:rPr>
      </w:pPr>
    </w:p>
    <w:p w14:paraId="57A1AD9C" w14:textId="3A30B356" w:rsidR="006975E6" w:rsidRPr="00950402" w:rsidRDefault="006975E6" w:rsidP="00950402">
      <w:pPr>
        <w:pStyle w:val="Prrafodelista"/>
        <w:numPr>
          <w:ilvl w:val="0"/>
          <w:numId w:val="42"/>
        </w:numPr>
        <w:spacing w:after="0"/>
        <w:jc w:val="both"/>
        <w:rPr>
          <w:rFonts w:ascii="Arial" w:eastAsia="Calibri" w:hAnsi="Arial" w:cs="Arial"/>
          <w:sz w:val="20"/>
          <w:szCs w:val="20"/>
          <w:lang w:val="es-CO" w:eastAsia="es-ES"/>
        </w:rPr>
      </w:pPr>
      <w:r w:rsidRPr="00950402">
        <w:rPr>
          <w:rFonts w:ascii="Arial" w:eastAsia="Calibri" w:hAnsi="Arial" w:cs="Arial"/>
          <w:sz w:val="20"/>
          <w:szCs w:val="20"/>
          <w:lang w:val="es-CO" w:eastAsia="es-ES"/>
        </w:rPr>
        <w:t>S</w:t>
      </w:r>
      <w:r w:rsidR="008D1223" w:rsidRPr="00950402">
        <w:rPr>
          <w:rFonts w:ascii="Arial" w:eastAsia="Calibri" w:hAnsi="Arial" w:cs="Arial"/>
          <w:sz w:val="20"/>
          <w:szCs w:val="20"/>
          <w:lang w:val="es-CO" w:eastAsia="es-ES"/>
        </w:rPr>
        <w:t xml:space="preserve">eguimiento </w:t>
      </w:r>
      <w:r w:rsidR="00AB03C4" w:rsidRPr="00950402">
        <w:rPr>
          <w:rFonts w:ascii="Arial" w:eastAsia="Calibri" w:hAnsi="Arial" w:cs="Arial"/>
          <w:sz w:val="20"/>
          <w:szCs w:val="20"/>
          <w:lang w:val="es-CO" w:eastAsia="es-ES"/>
        </w:rPr>
        <w:t xml:space="preserve">mensualizado </w:t>
      </w:r>
      <w:r w:rsidR="008D1223" w:rsidRPr="00950402">
        <w:rPr>
          <w:rFonts w:ascii="Arial" w:eastAsia="Calibri" w:hAnsi="Arial" w:cs="Arial"/>
          <w:sz w:val="20"/>
          <w:szCs w:val="20"/>
          <w:lang w:val="es-CO" w:eastAsia="es-ES"/>
        </w:rPr>
        <w:t>al PAC</w:t>
      </w:r>
      <w:r w:rsidR="00366648" w:rsidRPr="00950402">
        <w:rPr>
          <w:rFonts w:ascii="Arial" w:eastAsia="Calibri" w:hAnsi="Arial" w:cs="Arial"/>
          <w:sz w:val="20"/>
          <w:szCs w:val="20"/>
          <w:lang w:val="es-CO" w:eastAsia="es-ES"/>
        </w:rPr>
        <w:t>.</w:t>
      </w:r>
    </w:p>
    <w:p w14:paraId="48A49A74" w14:textId="2B2B14DC" w:rsidR="005240C4" w:rsidRPr="004C11AA" w:rsidRDefault="005240C4" w:rsidP="00A97CC5">
      <w:pPr>
        <w:spacing w:after="0"/>
        <w:jc w:val="both"/>
        <w:rPr>
          <w:rFonts w:ascii="Arial" w:eastAsia="Calibri" w:hAnsi="Arial" w:cs="Arial"/>
          <w:sz w:val="20"/>
          <w:szCs w:val="20"/>
          <w:lang w:val="es-CO" w:eastAsia="es-ES"/>
        </w:rPr>
      </w:pPr>
    </w:p>
    <w:p w14:paraId="4009B6F7" w14:textId="77777777" w:rsidR="00E3134D" w:rsidRDefault="00AF50DF" w:rsidP="00A97CC5">
      <w:pPr>
        <w:pStyle w:val="Prrafodelista"/>
        <w:numPr>
          <w:ilvl w:val="0"/>
          <w:numId w:val="3"/>
        </w:numPr>
        <w:spacing w:after="0"/>
        <w:jc w:val="both"/>
        <w:rPr>
          <w:rFonts w:ascii="Arial" w:eastAsia="Calibri" w:hAnsi="Arial" w:cs="Arial"/>
          <w:b/>
          <w:sz w:val="20"/>
          <w:szCs w:val="20"/>
          <w:lang w:val="es-CO" w:eastAsia="es-ES"/>
        </w:rPr>
      </w:pPr>
      <w:r w:rsidRPr="004C11AA">
        <w:rPr>
          <w:rFonts w:ascii="Arial" w:eastAsia="Calibri" w:hAnsi="Arial" w:cs="Arial"/>
          <w:b/>
          <w:sz w:val="20"/>
          <w:szCs w:val="20"/>
          <w:lang w:val="es-CO" w:eastAsia="es-ES"/>
        </w:rPr>
        <w:t xml:space="preserve">RESULTADOS DE LAS ACCIONES DEL PLAN DE </w:t>
      </w:r>
      <w:r w:rsidR="00256C27">
        <w:rPr>
          <w:rFonts w:ascii="Arial" w:eastAsia="Calibri" w:hAnsi="Arial" w:cs="Arial"/>
          <w:b/>
          <w:sz w:val="20"/>
          <w:szCs w:val="20"/>
          <w:lang w:val="es-CO" w:eastAsia="es-ES"/>
        </w:rPr>
        <w:t>MJORAMIENTO</w:t>
      </w:r>
      <w:r w:rsidRPr="004C11AA">
        <w:rPr>
          <w:rFonts w:ascii="Arial" w:eastAsia="Calibri" w:hAnsi="Arial" w:cs="Arial"/>
          <w:b/>
          <w:sz w:val="20"/>
          <w:szCs w:val="20"/>
          <w:lang w:val="es-CO" w:eastAsia="es-ES"/>
        </w:rPr>
        <w:t>.</w:t>
      </w:r>
    </w:p>
    <w:p w14:paraId="704C107A" w14:textId="77777777" w:rsidR="00950402" w:rsidRDefault="00950402" w:rsidP="00950402">
      <w:pPr>
        <w:spacing w:after="0"/>
        <w:jc w:val="both"/>
        <w:rPr>
          <w:rFonts w:ascii="Arial" w:eastAsia="Calibri" w:hAnsi="Arial" w:cs="Arial"/>
          <w:b/>
          <w:sz w:val="20"/>
          <w:szCs w:val="20"/>
          <w:lang w:val="es-CO" w:eastAsia="es-ES"/>
        </w:rPr>
      </w:pPr>
    </w:p>
    <w:p w14:paraId="15478774" w14:textId="64ECECFA" w:rsidR="00256C27" w:rsidRPr="00950402" w:rsidRDefault="002C1803" w:rsidP="00950402">
      <w:pPr>
        <w:spacing w:after="0"/>
        <w:jc w:val="both"/>
        <w:rPr>
          <w:rFonts w:ascii="Arial" w:eastAsia="Calibri" w:hAnsi="Arial" w:cs="Arial"/>
          <w:b/>
          <w:sz w:val="20"/>
          <w:szCs w:val="20"/>
          <w:lang w:val="es-CO" w:eastAsia="es-ES"/>
        </w:rPr>
      </w:pPr>
      <w:r w:rsidRPr="00950402">
        <w:rPr>
          <w:rFonts w:ascii="Arial" w:eastAsia="Calibri" w:hAnsi="Arial" w:cs="Arial"/>
          <w:sz w:val="20"/>
          <w:szCs w:val="20"/>
          <w:lang w:val="es-CO" w:eastAsia="es-ES"/>
        </w:rPr>
        <w:t>Teniendo en cuenta el plan anual de auditorías del año 2018 se realizará el respectivo seguimiento a las acciones establecidas en los planes de mejoramiento de las auditorías realizadas al proceso de Gestión Financiera en vigencias anteriores.</w:t>
      </w:r>
    </w:p>
    <w:p w14:paraId="742420B0" w14:textId="77777777" w:rsidR="00C14F3E" w:rsidRPr="004C11AA" w:rsidRDefault="00C14F3E" w:rsidP="00A97CC5">
      <w:pPr>
        <w:spacing w:after="0"/>
        <w:jc w:val="both"/>
        <w:rPr>
          <w:rFonts w:ascii="Arial" w:eastAsia="Calibri" w:hAnsi="Arial" w:cs="Arial"/>
          <w:sz w:val="20"/>
          <w:szCs w:val="20"/>
          <w:lang w:val="es-CO" w:eastAsia="es-ES"/>
        </w:rPr>
      </w:pPr>
    </w:p>
    <w:p w14:paraId="2E38DBB8" w14:textId="77777777" w:rsidR="00E3134D" w:rsidRDefault="00AF50DF" w:rsidP="00A97CC5">
      <w:pPr>
        <w:pStyle w:val="Prrafodelista"/>
        <w:numPr>
          <w:ilvl w:val="0"/>
          <w:numId w:val="4"/>
        </w:numPr>
        <w:spacing w:after="0"/>
        <w:jc w:val="both"/>
        <w:rPr>
          <w:rFonts w:ascii="Arial" w:eastAsia="Calibri" w:hAnsi="Arial" w:cs="Arial"/>
          <w:b/>
          <w:sz w:val="20"/>
          <w:szCs w:val="20"/>
          <w:lang w:val="es-CO" w:eastAsia="es-ES"/>
        </w:rPr>
      </w:pPr>
      <w:r w:rsidRPr="004C11AA">
        <w:rPr>
          <w:rFonts w:ascii="Arial" w:eastAsia="Calibri" w:hAnsi="Arial" w:cs="Arial"/>
          <w:b/>
          <w:sz w:val="20"/>
          <w:szCs w:val="20"/>
          <w:lang w:val="es-CO" w:eastAsia="es-ES"/>
        </w:rPr>
        <w:t>RESULTADOS DE LOS LOGROS DE GESTIÓN</w:t>
      </w:r>
    </w:p>
    <w:p w14:paraId="6F312AC1" w14:textId="77777777" w:rsidR="00950402" w:rsidRDefault="00950402" w:rsidP="00950402">
      <w:pPr>
        <w:spacing w:after="0"/>
        <w:jc w:val="both"/>
        <w:rPr>
          <w:rFonts w:ascii="Arial" w:eastAsia="Calibri" w:hAnsi="Arial" w:cs="Arial"/>
          <w:sz w:val="20"/>
          <w:szCs w:val="20"/>
          <w:lang w:val="es-CO" w:eastAsia="es-ES"/>
        </w:rPr>
      </w:pPr>
    </w:p>
    <w:p w14:paraId="21E67EC3" w14:textId="18617E26" w:rsidR="00AF50DF" w:rsidRPr="00950402" w:rsidRDefault="00D5189C" w:rsidP="00950402">
      <w:pPr>
        <w:spacing w:after="0"/>
        <w:jc w:val="both"/>
        <w:rPr>
          <w:rFonts w:ascii="Arial" w:eastAsia="Calibri" w:hAnsi="Arial" w:cs="Arial"/>
          <w:b/>
          <w:sz w:val="20"/>
          <w:szCs w:val="20"/>
          <w:lang w:val="es-CO" w:eastAsia="es-ES"/>
        </w:rPr>
      </w:pPr>
      <w:r w:rsidRPr="00950402">
        <w:rPr>
          <w:rFonts w:ascii="Arial" w:eastAsia="Calibri" w:hAnsi="Arial" w:cs="Arial"/>
          <w:sz w:val="20"/>
          <w:szCs w:val="20"/>
          <w:lang w:val="es-CO" w:eastAsia="es-ES"/>
        </w:rPr>
        <w:t xml:space="preserve">El resultado de la gestión de la </w:t>
      </w:r>
      <w:r w:rsidR="00BD0BCF" w:rsidRPr="00950402">
        <w:rPr>
          <w:rFonts w:ascii="Arial" w:eastAsia="Calibri" w:hAnsi="Arial" w:cs="Arial"/>
          <w:sz w:val="20"/>
          <w:szCs w:val="20"/>
          <w:lang w:val="es-CO" w:eastAsia="es-ES"/>
        </w:rPr>
        <w:t xml:space="preserve">Secretaria General, dentro de la evaluación por dependencias, </w:t>
      </w:r>
      <w:r w:rsidR="00AF50DF" w:rsidRPr="00950402">
        <w:rPr>
          <w:rFonts w:ascii="Arial" w:eastAsia="Calibri" w:hAnsi="Arial" w:cs="Arial"/>
          <w:sz w:val="20"/>
          <w:szCs w:val="20"/>
          <w:lang w:val="es-CO" w:eastAsia="es-ES"/>
        </w:rPr>
        <w:t xml:space="preserve">obtuvo un logro del </w:t>
      </w:r>
      <w:r w:rsidR="00F261C7" w:rsidRPr="00950402">
        <w:rPr>
          <w:rFonts w:ascii="Arial" w:eastAsia="Calibri" w:hAnsi="Arial" w:cs="Arial"/>
          <w:sz w:val="20"/>
          <w:szCs w:val="20"/>
          <w:lang w:val="es-CO" w:eastAsia="es-ES"/>
        </w:rPr>
        <w:t>9.3</w:t>
      </w:r>
      <w:r w:rsidR="00AC34E2" w:rsidRPr="00950402">
        <w:rPr>
          <w:rFonts w:ascii="Arial" w:eastAsia="Calibri" w:hAnsi="Arial" w:cs="Arial"/>
          <w:b/>
          <w:sz w:val="20"/>
          <w:szCs w:val="20"/>
          <w:lang w:val="es-CO" w:eastAsia="es-ES"/>
        </w:rPr>
        <w:t>/</w:t>
      </w:r>
      <w:r w:rsidR="00AC34E2" w:rsidRPr="00950402">
        <w:rPr>
          <w:rFonts w:ascii="Arial" w:eastAsia="Calibri" w:hAnsi="Arial" w:cs="Arial"/>
          <w:sz w:val="20"/>
          <w:szCs w:val="20"/>
          <w:lang w:val="es-CO" w:eastAsia="es-ES"/>
        </w:rPr>
        <w:t>10.00</w:t>
      </w:r>
      <w:r w:rsidR="00F0304C" w:rsidRPr="00950402">
        <w:rPr>
          <w:rFonts w:ascii="Arial" w:eastAsia="Calibri" w:hAnsi="Arial" w:cs="Arial"/>
          <w:sz w:val="20"/>
          <w:szCs w:val="20"/>
          <w:lang w:val="es-CO" w:eastAsia="es-ES"/>
        </w:rPr>
        <w:t>.</w:t>
      </w:r>
    </w:p>
    <w:p w14:paraId="772EF688" w14:textId="77777777" w:rsidR="00E3134D" w:rsidRDefault="00644833" w:rsidP="00A97CC5">
      <w:pPr>
        <w:pStyle w:val="Prrafodelista"/>
        <w:numPr>
          <w:ilvl w:val="0"/>
          <w:numId w:val="5"/>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lastRenderedPageBreak/>
        <w:t>CONCEPTO</w:t>
      </w:r>
      <w:r w:rsidR="00AF50DF" w:rsidRPr="004C11AA">
        <w:rPr>
          <w:rFonts w:ascii="Arial" w:eastAsia="Calibri" w:hAnsi="Arial" w:cs="Arial"/>
          <w:b/>
          <w:sz w:val="20"/>
          <w:szCs w:val="20"/>
          <w:lang w:val="es-CO" w:eastAsia="es-ES"/>
        </w:rPr>
        <w:t xml:space="preserve"> DE AUDITORIA</w:t>
      </w:r>
    </w:p>
    <w:p w14:paraId="6D0E3446" w14:textId="77777777" w:rsidR="00950402" w:rsidRDefault="00950402" w:rsidP="00950402">
      <w:pPr>
        <w:spacing w:after="0"/>
        <w:jc w:val="both"/>
        <w:rPr>
          <w:rFonts w:ascii="Arial" w:eastAsia="Calibri" w:hAnsi="Arial" w:cs="Arial"/>
          <w:sz w:val="20"/>
          <w:szCs w:val="20"/>
          <w:lang w:val="es-CO" w:eastAsia="es-ES"/>
        </w:rPr>
      </w:pPr>
    </w:p>
    <w:p w14:paraId="048697CB" w14:textId="121CD38B" w:rsidR="00E3134D" w:rsidRPr="00950402" w:rsidRDefault="00EC6CE9" w:rsidP="00950402">
      <w:pPr>
        <w:spacing w:after="0"/>
        <w:jc w:val="both"/>
        <w:rPr>
          <w:rFonts w:ascii="Arial" w:eastAsia="Calibri" w:hAnsi="Arial" w:cs="Arial"/>
          <w:sz w:val="20"/>
          <w:szCs w:val="20"/>
          <w:lang w:val="es-CO" w:eastAsia="es-ES"/>
        </w:rPr>
      </w:pPr>
      <w:bookmarkStart w:id="6" w:name="_Hlk532398050"/>
      <w:r w:rsidRPr="00950402">
        <w:rPr>
          <w:rFonts w:ascii="Arial" w:eastAsia="Calibri" w:hAnsi="Arial" w:cs="Arial"/>
          <w:sz w:val="20"/>
          <w:szCs w:val="20"/>
          <w:lang w:val="es-CO" w:eastAsia="es-ES"/>
        </w:rPr>
        <w:t>E</w:t>
      </w:r>
      <w:r w:rsidR="00D5189C" w:rsidRPr="00950402">
        <w:rPr>
          <w:rFonts w:ascii="Arial" w:eastAsia="Calibri" w:hAnsi="Arial" w:cs="Arial"/>
          <w:sz w:val="20"/>
          <w:szCs w:val="20"/>
          <w:lang w:val="es-CO" w:eastAsia="es-ES"/>
        </w:rPr>
        <w:t>l propósito de la auditoría es</w:t>
      </w:r>
      <w:r w:rsidR="00D5189C" w:rsidRPr="00950402">
        <w:rPr>
          <w:rFonts w:ascii="Arial" w:eastAsia="Arial" w:hAnsi="Arial"/>
          <w:sz w:val="20"/>
          <w:szCs w:val="22"/>
          <w:lang w:val="es-CO"/>
        </w:rPr>
        <w:t xml:space="preserve"> evaluar el sistema de control interno de</w:t>
      </w:r>
      <w:r w:rsidR="00644833" w:rsidRPr="00950402">
        <w:rPr>
          <w:rFonts w:ascii="Arial" w:eastAsia="Arial" w:hAnsi="Arial"/>
          <w:sz w:val="20"/>
          <w:szCs w:val="22"/>
          <w:lang w:val="es-CO"/>
        </w:rPr>
        <w:t>l</w:t>
      </w:r>
      <w:r w:rsidR="00D5189C" w:rsidRPr="00950402">
        <w:rPr>
          <w:rFonts w:ascii="Arial" w:eastAsia="Arial" w:hAnsi="Arial"/>
          <w:sz w:val="20"/>
          <w:szCs w:val="22"/>
          <w:lang w:val="es-CO"/>
        </w:rPr>
        <w:t xml:space="preserve"> proceso visto desde el logro de metas, la aplicación de normas y modelos de gestión efectivos.</w:t>
      </w:r>
      <w:r w:rsidR="00EE6AFF" w:rsidRPr="00950402">
        <w:rPr>
          <w:rFonts w:ascii="Arial" w:eastAsia="Arial" w:hAnsi="Arial"/>
          <w:sz w:val="20"/>
          <w:szCs w:val="22"/>
          <w:lang w:val="es-CO"/>
        </w:rPr>
        <w:t xml:space="preserve"> </w:t>
      </w:r>
      <w:r w:rsidR="00D5189C" w:rsidRPr="00083EE1">
        <w:rPr>
          <w:rFonts w:ascii="Arial" w:eastAsia="Arial" w:hAnsi="Arial"/>
          <w:sz w:val="20"/>
          <w:szCs w:val="22"/>
          <w:lang w:val="es-CO"/>
        </w:rPr>
        <w:t xml:space="preserve">Para </w:t>
      </w:r>
      <w:r w:rsidR="00644833" w:rsidRPr="00083EE1">
        <w:rPr>
          <w:rFonts w:ascii="Arial" w:eastAsia="Arial" w:hAnsi="Arial"/>
          <w:sz w:val="20"/>
          <w:szCs w:val="22"/>
          <w:lang w:val="es-CO"/>
        </w:rPr>
        <w:t>cumplir</w:t>
      </w:r>
      <w:r w:rsidR="00D5189C" w:rsidRPr="00083EE1">
        <w:rPr>
          <w:rFonts w:ascii="Arial" w:eastAsia="Arial" w:hAnsi="Arial"/>
          <w:sz w:val="20"/>
          <w:szCs w:val="22"/>
          <w:lang w:val="es-CO"/>
        </w:rPr>
        <w:t xml:space="preserve"> </w:t>
      </w:r>
      <w:r w:rsidR="003955D8" w:rsidRPr="00083EE1">
        <w:rPr>
          <w:rFonts w:ascii="Arial" w:eastAsia="Arial" w:hAnsi="Arial"/>
          <w:sz w:val="20"/>
          <w:szCs w:val="22"/>
          <w:lang w:val="es-CO"/>
        </w:rPr>
        <w:t>este cometido</w:t>
      </w:r>
      <w:r w:rsidR="00D5189C" w:rsidRPr="00083EE1">
        <w:rPr>
          <w:rFonts w:ascii="Arial" w:eastAsia="Arial" w:hAnsi="Arial"/>
          <w:sz w:val="20"/>
          <w:szCs w:val="22"/>
          <w:lang w:val="es-CO"/>
        </w:rPr>
        <w:t xml:space="preserve">, se examinaron los aspectos comunicacionales y </w:t>
      </w:r>
      <w:r w:rsidR="00644833" w:rsidRPr="00083EE1">
        <w:rPr>
          <w:rFonts w:ascii="Arial" w:eastAsia="Arial" w:hAnsi="Arial"/>
          <w:sz w:val="20"/>
          <w:szCs w:val="22"/>
          <w:lang w:val="es-CO"/>
        </w:rPr>
        <w:t xml:space="preserve">de </w:t>
      </w:r>
      <w:r w:rsidR="00D5189C" w:rsidRPr="00083EE1">
        <w:rPr>
          <w:rFonts w:ascii="Arial" w:eastAsia="Arial" w:hAnsi="Arial"/>
          <w:sz w:val="20"/>
          <w:szCs w:val="22"/>
          <w:lang w:val="es-CO"/>
        </w:rPr>
        <w:t xml:space="preserve">seguimiento a las acciones de control que se </w:t>
      </w:r>
      <w:r w:rsidR="00D5189C" w:rsidRPr="00950402">
        <w:rPr>
          <w:rFonts w:ascii="Arial" w:eastAsia="Arial" w:hAnsi="Arial"/>
          <w:sz w:val="20"/>
          <w:szCs w:val="22"/>
          <w:lang w:val="es-CO"/>
        </w:rPr>
        <w:t>deben realizar de conformidad con la naturaleza del proceso</w:t>
      </w:r>
      <w:r w:rsidRPr="00950402">
        <w:rPr>
          <w:rFonts w:ascii="Arial" w:eastAsia="Calibri" w:hAnsi="Arial" w:cs="Arial"/>
          <w:sz w:val="20"/>
          <w:szCs w:val="20"/>
          <w:lang w:val="es-CO" w:eastAsia="es-ES"/>
        </w:rPr>
        <w:t>.</w:t>
      </w:r>
      <w:r w:rsidR="00644833" w:rsidRPr="00950402">
        <w:rPr>
          <w:rFonts w:ascii="Arial" w:eastAsia="Calibri" w:hAnsi="Arial" w:cs="Arial"/>
          <w:sz w:val="20"/>
          <w:szCs w:val="20"/>
          <w:lang w:val="es-CO" w:eastAsia="es-ES"/>
        </w:rPr>
        <w:t xml:space="preserve">  Producto de esta actividad auditora, el Grupo Auditor de la Oficina de Control Interno emite el siguiente concepto de auditoria.</w:t>
      </w:r>
    </w:p>
    <w:p w14:paraId="1B815847" w14:textId="77777777" w:rsidR="00950402" w:rsidRDefault="00950402" w:rsidP="00950402">
      <w:pPr>
        <w:spacing w:after="0"/>
        <w:jc w:val="both"/>
        <w:rPr>
          <w:rFonts w:ascii="Arial" w:eastAsia="Arial" w:hAnsi="Arial"/>
          <w:sz w:val="20"/>
          <w:szCs w:val="22"/>
          <w:lang w:val="es-CO"/>
        </w:rPr>
      </w:pPr>
    </w:p>
    <w:p w14:paraId="1DCBE1F9" w14:textId="5D311A05" w:rsidR="00E3134D" w:rsidRDefault="00EA473F" w:rsidP="00950402">
      <w:pPr>
        <w:spacing w:after="0"/>
        <w:jc w:val="both"/>
        <w:rPr>
          <w:rFonts w:ascii="Arial" w:eastAsia="Arial" w:hAnsi="Arial"/>
          <w:sz w:val="20"/>
          <w:szCs w:val="22"/>
          <w:lang w:val="es-CO"/>
        </w:rPr>
      </w:pPr>
      <w:r w:rsidRPr="00950402">
        <w:rPr>
          <w:rFonts w:ascii="Arial" w:eastAsia="Arial" w:hAnsi="Arial"/>
          <w:sz w:val="20"/>
          <w:szCs w:val="22"/>
          <w:lang w:val="es-CO"/>
        </w:rPr>
        <w:t xml:space="preserve">El proceso de Gestión Financiera en lo relacionado al procedimiento de Administración Presupuestal </w:t>
      </w:r>
      <w:r w:rsidR="001A006D" w:rsidRPr="00950402">
        <w:rPr>
          <w:rFonts w:ascii="Arial" w:eastAsia="Arial" w:hAnsi="Arial"/>
          <w:sz w:val="20"/>
          <w:szCs w:val="22"/>
          <w:lang w:val="es-CO"/>
        </w:rPr>
        <w:t>tiene</w:t>
      </w:r>
      <w:r w:rsidRPr="00950402">
        <w:rPr>
          <w:rFonts w:ascii="Arial" w:eastAsia="Arial" w:hAnsi="Arial"/>
          <w:sz w:val="20"/>
          <w:szCs w:val="22"/>
          <w:lang w:val="es-CO"/>
        </w:rPr>
        <w:t xml:space="preserve"> como propósito fundamental el cumplimiento y control adecuado a la ejecución presupuestal</w:t>
      </w:r>
      <w:r w:rsidR="00F0304C" w:rsidRPr="00950402">
        <w:rPr>
          <w:rFonts w:ascii="Arial" w:eastAsia="Arial" w:hAnsi="Arial"/>
          <w:sz w:val="20"/>
          <w:szCs w:val="22"/>
          <w:lang w:val="es-CO"/>
        </w:rPr>
        <w:t xml:space="preserve">, el cual debe </w:t>
      </w:r>
      <w:r w:rsidR="006D18A1" w:rsidRPr="00950402">
        <w:rPr>
          <w:rFonts w:ascii="Arial" w:eastAsia="Arial" w:hAnsi="Arial"/>
          <w:sz w:val="20"/>
          <w:szCs w:val="22"/>
          <w:lang w:val="es-CO"/>
        </w:rPr>
        <w:t>enfocarse</w:t>
      </w:r>
      <w:r w:rsidR="00F0304C" w:rsidRPr="00950402">
        <w:rPr>
          <w:rFonts w:ascii="Arial" w:eastAsia="Arial" w:hAnsi="Arial"/>
          <w:sz w:val="20"/>
          <w:szCs w:val="22"/>
          <w:lang w:val="es-CO"/>
        </w:rPr>
        <w:t xml:space="preserve"> para desarrollar la misión y los objetivos de la entidad. En este escenario el sistema de control interno del proceso debe ser intrínseco a todas las actividades del proceso auditado.</w:t>
      </w:r>
    </w:p>
    <w:p w14:paraId="3FC01565" w14:textId="77777777" w:rsidR="00733EAE" w:rsidRPr="00950402" w:rsidRDefault="00733EAE" w:rsidP="00950402">
      <w:pPr>
        <w:spacing w:after="0"/>
        <w:jc w:val="both"/>
        <w:rPr>
          <w:rFonts w:ascii="Arial" w:eastAsia="Arial" w:hAnsi="Arial"/>
          <w:sz w:val="20"/>
          <w:szCs w:val="22"/>
          <w:lang w:val="es-CO"/>
        </w:rPr>
      </w:pPr>
    </w:p>
    <w:p w14:paraId="795B87CA" w14:textId="42D41960" w:rsidR="00E3134D" w:rsidRPr="00950402" w:rsidRDefault="00733EAE" w:rsidP="00950402">
      <w:pPr>
        <w:spacing w:after="0"/>
        <w:jc w:val="both"/>
        <w:rPr>
          <w:rFonts w:ascii="Arial" w:eastAsia="Arial" w:hAnsi="Arial"/>
          <w:sz w:val="20"/>
          <w:szCs w:val="22"/>
          <w:lang w:val="es-CO"/>
        </w:rPr>
      </w:pPr>
      <w:r>
        <w:rPr>
          <w:rFonts w:ascii="Arial" w:eastAsia="Arial" w:hAnsi="Arial"/>
          <w:sz w:val="20"/>
          <w:szCs w:val="22"/>
          <w:lang w:val="es-CO"/>
        </w:rPr>
        <w:t xml:space="preserve">Hay </w:t>
      </w:r>
      <w:r w:rsidR="00E2089F" w:rsidRPr="00950402">
        <w:rPr>
          <w:rFonts w:ascii="Arial" w:eastAsia="Arial" w:hAnsi="Arial"/>
          <w:sz w:val="20"/>
          <w:szCs w:val="22"/>
          <w:lang w:val="es-CO"/>
        </w:rPr>
        <w:t xml:space="preserve">herramientas para el seguimiento de la ejecución presupuestal, </w:t>
      </w:r>
      <w:r w:rsidR="000F083E" w:rsidRPr="00950402">
        <w:rPr>
          <w:rFonts w:ascii="Arial" w:eastAsia="Arial" w:hAnsi="Arial"/>
          <w:sz w:val="20"/>
          <w:szCs w:val="22"/>
          <w:lang w:val="es-CO"/>
        </w:rPr>
        <w:t xml:space="preserve">sin embargo, </w:t>
      </w:r>
      <w:r w:rsidR="00E2089F" w:rsidRPr="00950402">
        <w:rPr>
          <w:rFonts w:ascii="Arial" w:eastAsia="Arial" w:hAnsi="Arial"/>
          <w:sz w:val="20"/>
          <w:szCs w:val="22"/>
          <w:lang w:val="es-CO"/>
        </w:rPr>
        <w:t>s</w:t>
      </w:r>
      <w:r w:rsidR="003C3400" w:rsidRPr="00950402">
        <w:rPr>
          <w:rFonts w:ascii="Arial" w:eastAsia="Arial" w:hAnsi="Arial"/>
          <w:sz w:val="20"/>
          <w:szCs w:val="22"/>
          <w:lang w:val="es-CO"/>
        </w:rPr>
        <w:t>e evidencia</w:t>
      </w:r>
      <w:r w:rsidR="00F0304C" w:rsidRPr="00950402">
        <w:rPr>
          <w:rFonts w:ascii="Arial" w:eastAsia="Arial" w:hAnsi="Arial"/>
          <w:sz w:val="20"/>
          <w:szCs w:val="22"/>
          <w:lang w:val="es-CO"/>
        </w:rPr>
        <w:t xml:space="preserve"> </w:t>
      </w:r>
      <w:r w:rsidR="00093099" w:rsidRPr="00950402">
        <w:rPr>
          <w:rFonts w:ascii="Arial" w:eastAsia="Arial" w:hAnsi="Arial"/>
          <w:sz w:val="20"/>
          <w:szCs w:val="22"/>
          <w:lang w:val="es-CO"/>
        </w:rPr>
        <w:t xml:space="preserve">debilidad en el </w:t>
      </w:r>
      <w:r w:rsidR="00F0304C" w:rsidRPr="00950402">
        <w:rPr>
          <w:rFonts w:ascii="Arial" w:eastAsia="Arial" w:hAnsi="Arial"/>
          <w:sz w:val="20"/>
          <w:szCs w:val="22"/>
          <w:lang w:val="es-CO"/>
        </w:rPr>
        <w:t xml:space="preserve">control </w:t>
      </w:r>
      <w:r w:rsidR="00E2089F" w:rsidRPr="00950402">
        <w:rPr>
          <w:rFonts w:ascii="Arial" w:eastAsia="Arial" w:hAnsi="Arial"/>
          <w:sz w:val="20"/>
          <w:szCs w:val="22"/>
          <w:lang w:val="es-CO"/>
        </w:rPr>
        <w:t xml:space="preserve">en lo referente al conocimiento y soportes del seguimiento al cumplimiento de las proyecciones que establece la Oficina Asesora de </w:t>
      </w:r>
      <w:r w:rsidR="00093099" w:rsidRPr="00950402">
        <w:rPr>
          <w:rFonts w:ascii="Arial" w:eastAsia="Arial" w:hAnsi="Arial"/>
          <w:sz w:val="20"/>
          <w:szCs w:val="22"/>
          <w:lang w:val="es-CO"/>
        </w:rPr>
        <w:t>Planeación,</w:t>
      </w:r>
      <w:r w:rsidR="00E2089F" w:rsidRPr="00950402">
        <w:rPr>
          <w:rFonts w:ascii="Arial" w:eastAsia="Arial" w:hAnsi="Arial"/>
          <w:sz w:val="20"/>
          <w:szCs w:val="22"/>
          <w:lang w:val="es-CO"/>
        </w:rPr>
        <w:t xml:space="preserve"> en cuanto a los compromisos, obligaciones y pagos</w:t>
      </w:r>
      <w:r w:rsidR="000F083E" w:rsidRPr="00950402">
        <w:rPr>
          <w:rFonts w:ascii="Arial" w:eastAsia="Arial" w:hAnsi="Arial"/>
          <w:sz w:val="20"/>
          <w:szCs w:val="22"/>
          <w:lang w:val="es-CO"/>
        </w:rPr>
        <w:t xml:space="preserve"> programado</w:t>
      </w:r>
      <w:r w:rsidR="00093099" w:rsidRPr="00950402">
        <w:rPr>
          <w:rFonts w:ascii="Arial" w:eastAsia="Arial" w:hAnsi="Arial"/>
          <w:sz w:val="20"/>
          <w:szCs w:val="22"/>
          <w:lang w:val="es-CO"/>
        </w:rPr>
        <w:t>s para las vigencias.</w:t>
      </w:r>
      <w:r w:rsidR="00E2089F" w:rsidRPr="00950402">
        <w:rPr>
          <w:rFonts w:ascii="Arial" w:eastAsia="Arial" w:hAnsi="Arial"/>
          <w:sz w:val="20"/>
          <w:szCs w:val="22"/>
          <w:lang w:val="es-CO"/>
        </w:rPr>
        <w:t xml:space="preserve"> </w:t>
      </w:r>
    </w:p>
    <w:p w14:paraId="1B49A738" w14:textId="77777777" w:rsidR="00950402" w:rsidRDefault="00950402" w:rsidP="00950402">
      <w:pPr>
        <w:spacing w:after="0"/>
        <w:jc w:val="both"/>
        <w:rPr>
          <w:rFonts w:ascii="Arial" w:eastAsia="Arial" w:hAnsi="Arial"/>
          <w:sz w:val="20"/>
          <w:szCs w:val="22"/>
          <w:lang w:val="es-CO"/>
        </w:rPr>
      </w:pPr>
    </w:p>
    <w:p w14:paraId="66854AD0" w14:textId="7AB5D29A" w:rsidR="00BF3106" w:rsidRDefault="00093099" w:rsidP="00950402">
      <w:pPr>
        <w:spacing w:after="0"/>
        <w:jc w:val="both"/>
        <w:rPr>
          <w:rFonts w:ascii="Arial" w:eastAsia="Arial" w:hAnsi="Arial"/>
          <w:sz w:val="20"/>
          <w:szCs w:val="22"/>
          <w:lang w:val="es-CO"/>
        </w:rPr>
      </w:pPr>
      <w:r w:rsidRPr="00950402">
        <w:rPr>
          <w:rFonts w:ascii="Arial" w:eastAsia="Arial" w:hAnsi="Arial"/>
          <w:sz w:val="20"/>
          <w:szCs w:val="22"/>
          <w:lang w:val="es-CO"/>
        </w:rPr>
        <w:t xml:space="preserve">Si bien </w:t>
      </w:r>
      <w:r w:rsidR="008422EA">
        <w:rPr>
          <w:rFonts w:ascii="Arial" w:eastAsia="Arial" w:hAnsi="Arial"/>
          <w:sz w:val="20"/>
          <w:szCs w:val="22"/>
          <w:lang w:val="es-CO"/>
        </w:rPr>
        <w:t xml:space="preserve">el auditado diseñó una herramienta de seguimiento y control </w:t>
      </w:r>
      <w:r w:rsidR="00394CC2">
        <w:rPr>
          <w:rFonts w:ascii="Arial" w:eastAsia="Arial" w:hAnsi="Arial"/>
          <w:sz w:val="20"/>
          <w:szCs w:val="22"/>
          <w:lang w:val="es-CO"/>
        </w:rPr>
        <w:t xml:space="preserve">denominada </w:t>
      </w:r>
      <w:r w:rsidR="008422EA">
        <w:rPr>
          <w:rFonts w:ascii="Arial" w:eastAsia="Arial" w:hAnsi="Arial"/>
          <w:sz w:val="20"/>
          <w:szCs w:val="22"/>
          <w:lang w:val="es-CO"/>
        </w:rPr>
        <w:t>“</w:t>
      </w:r>
      <w:r w:rsidRPr="00950402">
        <w:rPr>
          <w:rFonts w:ascii="Arial" w:eastAsia="Arial" w:hAnsi="Arial"/>
          <w:sz w:val="20"/>
          <w:szCs w:val="22"/>
          <w:lang w:val="es-CO"/>
        </w:rPr>
        <w:t>Ficha Técnica Control Ejecución Proveedores</w:t>
      </w:r>
      <w:r w:rsidR="008422EA">
        <w:rPr>
          <w:rFonts w:ascii="Arial" w:eastAsia="Arial" w:hAnsi="Arial"/>
          <w:sz w:val="20"/>
          <w:szCs w:val="22"/>
          <w:lang w:val="es-CO"/>
        </w:rPr>
        <w:t>”</w:t>
      </w:r>
      <w:r w:rsidRPr="00950402">
        <w:rPr>
          <w:rFonts w:ascii="Arial" w:eastAsia="Arial" w:hAnsi="Arial"/>
          <w:sz w:val="20"/>
          <w:szCs w:val="22"/>
          <w:lang w:val="es-CO"/>
        </w:rPr>
        <w:t xml:space="preserve">, </w:t>
      </w:r>
      <w:r w:rsidR="00394CC2">
        <w:rPr>
          <w:rFonts w:ascii="Arial" w:eastAsia="Arial" w:hAnsi="Arial"/>
          <w:sz w:val="20"/>
          <w:szCs w:val="22"/>
          <w:lang w:val="es-CO"/>
        </w:rPr>
        <w:t>la cual utiliza</w:t>
      </w:r>
      <w:r w:rsidR="008422EA">
        <w:rPr>
          <w:rFonts w:ascii="Arial" w:eastAsia="Arial" w:hAnsi="Arial"/>
          <w:sz w:val="20"/>
          <w:szCs w:val="22"/>
          <w:lang w:val="es-CO"/>
        </w:rPr>
        <w:t xml:space="preserve"> como apoyo para generar alertas</w:t>
      </w:r>
      <w:r w:rsidRPr="00950402">
        <w:rPr>
          <w:rFonts w:ascii="Arial" w:eastAsia="Arial" w:hAnsi="Arial"/>
          <w:sz w:val="20"/>
          <w:szCs w:val="22"/>
          <w:lang w:val="es-CO"/>
        </w:rPr>
        <w:t xml:space="preserve"> a los supervisores de la ejecución presupuestal de los contratos asignados</w:t>
      </w:r>
      <w:r w:rsidR="00733EAE">
        <w:rPr>
          <w:rFonts w:ascii="Arial" w:eastAsia="Arial" w:hAnsi="Arial"/>
          <w:sz w:val="20"/>
          <w:szCs w:val="22"/>
          <w:lang w:val="es-CO"/>
        </w:rPr>
        <w:t xml:space="preserve">, </w:t>
      </w:r>
      <w:r w:rsidRPr="00950402">
        <w:rPr>
          <w:rFonts w:ascii="Arial" w:eastAsia="Arial" w:hAnsi="Arial"/>
          <w:sz w:val="20"/>
          <w:szCs w:val="22"/>
          <w:lang w:val="es-CO"/>
        </w:rPr>
        <w:t xml:space="preserve">esta </w:t>
      </w:r>
      <w:r w:rsidR="008422EA">
        <w:rPr>
          <w:rFonts w:ascii="Arial" w:eastAsia="Arial" w:hAnsi="Arial"/>
          <w:sz w:val="20"/>
          <w:szCs w:val="22"/>
          <w:lang w:val="es-CO"/>
        </w:rPr>
        <w:t xml:space="preserve">buena práctica </w:t>
      </w:r>
      <w:r w:rsidRPr="00950402">
        <w:rPr>
          <w:rFonts w:ascii="Arial" w:eastAsia="Arial" w:hAnsi="Arial"/>
          <w:sz w:val="20"/>
          <w:szCs w:val="22"/>
          <w:lang w:val="es-CO"/>
        </w:rPr>
        <w:t xml:space="preserve">presenta </w:t>
      </w:r>
      <w:r w:rsidR="00733EAE">
        <w:rPr>
          <w:rFonts w:ascii="Arial" w:eastAsia="Arial" w:hAnsi="Arial"/>
          <w:sz w:val="20"/>
          <w:szCs w:val="22"/>
          <w:lang w:val="es-CO"/>
        </w:rPr>
        <w:t>debilidad</w:t>
      </w:r>
      <w:r w:rsidR="008422EA">
        <w:rPr>
          <w:rFonts w:ascii="Arial" w:eastAsia="Arial" w:hAnsi="Arial"/>
          <w:sz w:val="20"/>
          <w:szCs w:val="22"/>
          <w:lang w:val="es-CO"/>
        </w:rPr>
        <w:t xml:space="preserve"> e </w:t>
      </w:r>
      <w:r w:rsidRPr="00950402">
        <w:rPr>
          <w:rFonts w:ascii="Arial" w:eastAsia="Arial" w:hAnsi="Arial"/>
          <w:sz w:val="20"/>
          <w:szCs w:val="22"/>
          <w:lang w:val="es-CO"/>
        </w:rPr>
        <w:t>inconsis</w:t>
      </w:r>
      <w:r w:rsidR="008422EA">
        <w:rPr>
          <w:rFonts w:ascii="Arial" w:eastAsia="Arial" w:hAnsi="Arial"/>
          <w:sz w:val="20"/>
          <w:szCs w:val="22"/>
          <w:lang w:val="es-CO"/>
        </w:rPr>
        <w:t xml:space="preserve">tencia en la información que </w:t>
      </w:r>
      <w:r w:rsidRPr="00950402">
        <w:rPr>
          <w:rFonts w:ascii="Arial" w:eastAsia="Arial" w:hAnsi="Arial"/>
          <w:sz w:val="20"/>
          <w:szCs w:val="22"/>
          <w:lang w:val="es-CO"/>
        </w:rPr>
        <w:t xml:space="preserve">suministra a quienes hacen uso de </w:t>
      </w:r>
      <w:r w:rsidR="003955D8" w:rsidRPr="00950402">
        <w:rPr>
          <w:rFonts w:ascii="Arial" w:eastAsia="Arial" w:hAnsi="Arial"/>
          <w:sz w:val="20"/>
          <w:szCs w:val="22"/>
          <w:lang w:val="es-CO"/>
        </w:rPr>
        <w:t>esta</w:t>
      </w:r>
      <w:r w:rsidRPr="00950402">
        <w:rPr>
          <w:rFonts w:ascii="Arial" w:eastAsia="Arial" w:hAnsi="Arial"/>
          <w:sz w:val="20"/>
          <w:szCs w:val="22"/>
          <w:lang w:val="es-CO"/>
        </w:rPr>
        <w:t xml:space="preserve">, </w:t>
      </w:r>
      <w:r w:rsidR="00F0304C" w:rsidRPr="00950402">
        <w:rPr>
          <w:rFonts w:ascii="Arial" w:eastAsia="Arial" w:hAnsi="Arial"/>
          <w:sz w:val="20"/>
          <w:szCs w:val="22"/>
          <w:lang w:val="es-CO"/>
        </w:rPr>
        <w:t>genera</w:t>
      </w:r>
      <w:r w:rsidRPr="00950402">
        <w:rPr>
          <w:rFonts w:ascii="Arial" w:eastAsia="Arial" w:hAnsi="Arial"/>
          <w:sz w:val="20"/>
          <w:szCs w:val="22"/>
          <w:lang w:val="es-CO"/>
        </w:rPr>
        <w:t>ndo</w:t>
      </w:r>
      <w:r w:rsidR="00F0304C" w:rsidRPr="00950402">
        <w:rPr>
          <w:rFonts w:ascii="Arial" w:eastAsia="Arial" w:hAnsi="Arial"/>
          <w:sz w:val="20"/>
          <w:szCs w:val="22"/>
          <w:lang w:val="es-CO"/>
        </w:rPr>
        <w:t xml:space="preserve"> </w:t>
      </w:r>
      <w:r w:rsidRPr="00950402">
        <w:rPr>
          <w:rFonts w:ascii="Arial" w:eastAsia="Arial" w:hAnsi="Arial"/>
          <w:sz w:val="20"/>
          <w:szCs w:val="22"/>
          <w:lang w:val="es-CO"/>
        </w:rPr>
        <w:t xml:space="preserve">un </w:t>
      </w:r>
      <w:r w:rsidR="00F0304C" w:rsidRPr="00950402">
        <w:rPr>
          <w:rFonts w:ascii="Arial" w:eastAsia="Arial" w:hAnsi="Arial"/>
          <w:sz w:val="20"/>
          <w:szCs w:val="22"/>
          <w:lang w:val="es-CO"/>
        </w:rPr>
        <w:t xml:space="preserve">riesgo </w:t>
      </w:r>
      <w:r w:rsidRPr="00950402">
        <w:rPr>
          <w:rFonts w:ascii="Arial" w:eastAsia="Arial" w:hAnsi="Arial"/>
          <w:sz w:val="20"/>
          <w:szCs w:val="22"/>
          <w:lang w:val="es-CO"/>
        </w:rPr>
        <w:t xml:space="preserve">en la </w:t>
      </w:r>
      <w:r w:rsidR="005E562D" w:rsidRPr="00950402">
        <w:rPr>
          <w:rFonts w:ascii="Arial" w:eastAsia="Arial" w:hAnsi="Arial"/>
          <w:sz w:val="20"/>
          <w:szCs w:val="22"/>
          <w:lang w:val="es-CO"/>
        </w:rPr>
        <w:t xml:space="preserve">confiabilidad de la </w:t>
      </w:r>
      <w:r w:rsidRPr="00950402">
        <w:rPr>
          <w:rFonts w:ascii="Arial" w:eastAsia="Arial" w:hAnsi="Arial"/>
          <w:sz w:val="20"/>
          <w:szCs w:val="22"/>
          <w:lang w:val="es-CO"/>
        </w:rPr>
        <w:t>información</w:t>
      </w:r>
      <w:r w:rsidR="00733EAE">
        <w:rPr>
          <w:rFonts w:ascii="Arial" w:eastAsia="Arial" w:hAnsi="Arial"/>
          <w:sz w:val="20"/>
          <w:szCs w:val="22"/>
          <w:lang w:val="es-CO"/>
        </w:rPr>
        <w:t>,</w:t>
      </w:r>
      <w:r w:rsidR="005E562D" w:rsidRPr="00950402">
        <w:rPr>
          <w:rFonts w:ascii="Arial" w:eastAsia="Arial" w:hAnsi="Arial"/>
          <w:sz w:val="20"/>
          <w:szCs w:val="22"/>
          <w:lang w:val="es-CO"/>
        </w:rPr>
        <w:t xml:space="preserve"> </w:t>
      </w:r>
      <w:r w:rsidR="003955D8">
        <w:rPr>
          <w:rFonts w:ascii="Arial" w:eastAsia="Arial" w:hAnsi="Arial"/>
          <w:sz w:val="20"/>
          <w:szCs w:val="22"/>
          <w:lang w:val="es-CO"/>
        </w:rPr>
        <w:t>limitando</w:t>
      </w:r>
      <w:r w:rsidR="00BF3106">
        <w:rPr>
          <w:rFonts w:ascii="Arial" w:eastAsia="Arial" w:hAnsi="Arial"/>
          <w:sz w:val="20"/>
          <w:szCs w:val="22"/>
          <w:lang w:val="es-CO"/>
        </w:rPr>
        <w:t xml:space="preserve"> el objetivo para </w:t>
      </w:r>
      <w:r w:rsidR="005E562D" w:rsidRPr="00950402">
        <w:rPr>
          <w:rFonts w:ascii="Arial" w:eastAsia="Arial" w:hAnsi="Arial"/>
          <w:sz w:val="20"/>
          <w:szCs w:val="22"/>
          <w:lang w:val="es-CO"/>
        </w:rPr>
        <w:t>l</w:t>
      </w:r>
      <w:r w:rsidR="00BF3106">
        <w:rPr>
          <w:rFonts w:ascii="Arial" w:eastAsia="Arial" w:hAnsi="Arial"/>
          <w:sz w:val="20"/>
          <w:szCs w:val="22"/>
          <w:lang w:val="es-CO"/>
        </w:rPr>
        <w:t>a</w:t>
      </w:r>
      <w:r w:rsidR="005E562D" w:rsidRPr="00950402">
        <w:rPr>
          <w:rFonts w:ascii="Arial" w:eastAsia="Arial" w:hAnsi="Arial"/>
          <w:sz w:val="20"/>
          <w:szCs w:val="22"/>
          <w:lang w:val="es-CO"/>
        </w:rPr>
        <w:t xml:space="preserve"> cual </w:t>
      </w:r>
      <w:r w:rsidR="00BF3106">
        <w:rPr>
          <w:rFonts w:ascii="Arial" w:eastAsia="Arial" w:hAnsi="Arial"/>
          <w:sz w:val="20"/>
          <w:szCs w:val="22"/>
          <w:lang w:val="es-CO"/>
        </w:rPr>
        <w:t>fue</w:t>
      </w:r>
      <w:r w:rsidR="005E562D" w:rsidRPr="00950402">
        <w:rPr>
          <w:rFonts w:ascii="Arial" w:eastAsia="Arial" w:hAnsi="Arial"/>
          <w:sz w:val="20"/>
          <w:szCs w:val="22"/>
          <w:lang w:val="es-CO"/>
        </w:rPr>
        <w:t xml:space="preserve"> diseñad</w:t>
      </w:r>
      <w:r w:rsidR="003955D8">
        <w:rPr>
          <w:rFonts w:ascii="Arial" w:eastAsia="Arial" w:hAnsi="Arial"/>
          <w:sz w:val="20"/>
          <w:szCs w:val="22"/>
          <w:lang w:val="es-CO"/>
        </w:rPr>
        <w:t>a</w:t>
      </w:r>
      <w:r w:rsidR="00BF3106">
        <w:rPr>
          <w:rFonts w:ascii="Arial" w:eastAsia="Arial" w:hAnsi="Arial"/>
          <w:sz w:val="20"/>
          <w:szCs w:val="22"/>
          <w:lang w:val="es-CO"/>
        </w:rPr>
        <w:t>.</w:t>
      </w:r>
    </w:p>
    <w:p w14:paraId="243191C4" w14:textId="77777777" w:rsidR="00BF3106" w:rsidRDefault="00BF3106" w:rsidP="00950402">
      <w:pPr>
        <w:spacing w:after="0"/>
        <w:jc w:val="both"/>
        <w:rPr>
          <w:rFonts w:ascii="Arial" w:eastAsia="Arial" w:hAnsi="Arial"/>
          <w:sz w:val="20"/>
          <w:szCs w:val="22"/>
          <w:lang w:val="es-CO"/>
        </w:rPr>
      </w:pPr>
    </w:p>
    <w:p w14:paraId="1BA72EA4" w14:textId="22A6A29D" w:rsidR="00E3134D" w:rsidRPr="00950402" w:rsidRDefault="00F0304C" w:rsidP="00950402">
      <w:pPr>
        <w:spacing w:after="0"/>
        <w:jc w:val="both"/>
        <w:rPr>
          <w:rFonts w:ascii="Arial" w:eastAsia="Arial" w:hAnsi="Arial"/>
          <w:sz w:val="20"/>
          <w:szCs w:val="22"/>
          <w:lang w:val="es-CO"/>
        </w:rPr>
      </w:pPr>
      <w:r w:rsidRPr="00950402">
        <w:rPr>
          <w:rFonts w:ascii="Arial" w:eastAsia="Arial" w:hAnsi="Arial"/>
          <w:sz w:val="20"/>
          <w:szCs w:val="22"/>
          <w:lang w:val="es-CO"/>
        </w:rPr>
        <w:t>El seguimiento que se debe hacer se enfrenta a niveles de información débiles y el control que debe ser</w:t>
      </w:r>
      <w:r w:rsidR="00816C85" w:rsidRPr="00950402">
        <w:rPr>
          <w:rFonts w:ascii="Arial" w:eastAsia="Arial" w:hAnsi="Arial"/>
          <w:sz w:val="20"/>
          <w:szCs w:val="22"/>
          <w:lang w:val="es-CO"/>
        </w:rPr>
        <w:t xml:space="preserve"> intrínseco no da valor agregado</w:t>
      </w:r>
      <w:r w:rsidRPr="00950402">
        <w:rPr>
          <w:rFonts w:ascii="Arial" w:eastAsia="Arial" w:hAnsi="Arial"/>
          <w:sz w:val="20"/>
          <w:szCs w:val="22"/>
          <w:lang w:val="es-CO"/>
        </w:rPr>
        <w:t>, ámbito que dificulta el seguimiento</w:t>
      </w:r>
      <w:r w:rsidR="00733EAE">
        <w:rPr>
          <w:rFonts w:ascii="Arial" w:eastAsia="Arial" w:hAnsi="Arial"/>
          <w:sz w:val="20"/>
          <w:szCs w:val="22"/>
          <w:lang w:val="es-CO"/>
        </w:rPr>
        <w:t xml:space="preserve">, siendo este un elemento del </w:t>
      </w:r>
      <w:r w:rsidRPr="00950402">
        <w:rPr>
          <w:rFonts w:ascii="Arial" w:eastAsia="Arial" w:hAnsi="Arial"/>
          <w:sz w:val="20"/>
          <w:szCs w:val="22"/>
          <w:lang w:val="es-CO"/>
        </w:rPr>
        <w:t>control interno</w:t>
      </w:r>
      <w:r w:rsidR="00816C85" w:rsidRPr="00950402">
        <w:rPr>
          <w:rFonts w:ascii="Arial" w:eastAsia="Arial" w:hAnsi="Arial"/>
          <w:sz w:val="20"/>
          <w:szCs w:val="22"/>
          <w:lang w:val="es-CO"/>
        </w:rPr>
        <w:t>.</w:t>
      </w:r>
      <w:r w:rsidRPr="00950402">
        <w:rPr>
          <w:rFonts w:ascii="Arial" w:eastAsia="Arial" w:hAnsi="Arial"/>
          <w:sz w:val="20"/>
          <w:szCs w:val="22"/>
          <w:lang w:val="es-CO"/>
        </w:rPr>
        <w:t xml:space="preserve">  </w:t>
      </w:r>
    </w:p>
    <w:p w14:paraId="3F6024E3" w14:textId="77777777" w:rsidR="00950402" w:rsidRDefault="00950402" w:rsidP="00950402">
      <w:pPr>
        <w:spacing w:after="0"/>
        <w:jc w:val="both"/>
        <w:rPr>
          <w:rFonts w:ascii="Arial" w:eastAsia="Arial" w:hAnsi="Arial"/>
          <w:sz w:val="20"/>
          <w:szCs w:val="22"/>
          <w:lang w:val="es-CO"/>
        </w:rPr>
      </w:pPr>
    </w:p>
    <w:p w14:paraId="6A48332D" w14:textId="7F268EB5" w:rsidR="00E3134D" w:rsidRPr="00950402" w:rsidRDefault="000B5D59" w:rsidP="00950402">
      <w:pPr>
        <w:spacing w:after="0"/>
        <w:jc w:val="both"/>
        <w:rPr>
          <w:rFonts w:ascii="Arial" w:eastAsia="Arial" w:hAnsi="Arial"/>
          <w:sz w:val="20"/>
          <w:szCs w:val="22"/>
          <w:lang w:val="es-CO"/>
        </w:rPr>
      </w:pPr>
      <w:r w:rsidRPr="00950402">
        <w:rPr>
          <w:rFonts w:ascii="Arial" w:eastAsia="Arial" w:hAnsi="Arial"/>
          <w:sz w:val="20"/>
          <w:szCs w:val="22"/>
          <w:lang w:val="es-CO"/>
        </w:rPr>
        <w:t xml:space="preserve">En términos generales </w:t>
      </w:r>
      <w:r w:rsidR="00F0304C" w:rsidRPr="00950402">
        <w:rPr>
          <w:rFonts w:ascii="Arial" w:eastAsia="Arial" w:hAnsi="Arial"/>
          <w:sz w:val="20"/>
          <w:szCs w:val="22"/>
          <w:lang w:val="es-CO"/>
        </w:rPr>
        <w:t>l</w:t>
      </w:r>
      <w:r w:rsidRPr="00950402">
        <w:rPr>
          <w:rFonts w:ascii="Arial" w:eastAsia="Arial" w:hAnsi="Arial"/>
          <w:sz w:val="20"/>
          <w:szCs w:val="22"/>
          <w:lang w:val="es-CO"/>
        </w:rPr>
        <w:t xml:space="preserve">os procedimientos asociados a la Administración Presupuestal </w:t>
      </w:r>
      <w:r w:rsidR="00F0304C" w:rsidRPr="00950402">
        <w:rPr>
          <w:rFonts w:ascii="Arial" w:eastAsia="Arial" w:hAnsi="Arial"/>
          <w:sz w:val="20"/>
          <w:szCs w:val="22"/>
          <w:lang w:val="es-CO"/>
        </w:rPr>
        <w:t>presenta</w:t>
      </w:r>
      <w:r w:rsidR="00954A9C">
        <w:rPr>
          <w:rFonts w:ascii="Arial" w:eastAsia="Arial" w:hAnsi="Arial"/>
          <w:sz w:val="20"/>
          <w:szCs w:val="22"/>
          <w:lang w:val="es-CO"/>
        </w:rPr>
        <w:t>n</w:t>
      </w:r>
      <w:r w:rsidR="00F0304C" w:rsidRPr="00950402">
        <w:rPr>
          <w:rFonts w:ascii="Arial" w:eastAsia="Arial" w:hAnsi="Arial"/>
          <w:sz w:val="20"/>
          <w:szCs w:val="22"/>
          <w:lang w:val="es-CO"/>
        </w:rPr>
        <w:t xml:space="preserve"> debilidad del </w:t>
      </w:r>
      <w:r w:rsidR="00954A9C">
        <w:rPr>
          <w:rFonts w:ascii="Arial" w:eastAsia="Arial" w:hAnsi="Arial"/>
          <w:sz w:val="20"/>
          <w:szCs w:val="22"/>
          <w:lang w:val="es-CO"/>
        </w:rPr>
        <w:t>Sistema de Control I</w:t>
      </w:r>
      <w:r w:rsidR="00F0304C" w:rsidRPr="00950402">
        <w:rPr>
          <w:rFonts w:ascii="Arial" w:eastAsia="Arial" w:hAnsi="Arial"/>
          <w:sz w:val="20"/>
          <w:szCs w:val="22"/>
          <w:lang w:val="es-CO"/>
        </w:rPr>
        <w:t>nterno</w:t>
      </w:r>
      <w:r w:rsidR="00954A9C">
        <w:rPr>
          <w:rFonts w:ascii="Arial" w:eastAsia="Arial" w:hAnsi="Arial"/>
          <w:sz w:val="20"/>
          <w:szCs w:val="22"/>
          <w:lang w:val="es-CO"/>
        </w:rPr>
        <w:t xml:space="preserve"> de carácter formal que se supera con un ejercicio de ajuste al modelo de control existente. </w:t>
      </w:r>
      <w:r w:rsidR="00F0304C" w:rsidRPr="00950402">
        <w:rPr>
          <w:rFonts w:ascii="Arial" w:eastAsia="Arial" w:hAnsi="Arial"/>
          <w:sz w:val="20"/>
          <w:szCs w:val="22"/>
          <w:lang w:val="es-CO"/>
        </w:rPr>
        <w:t>Si bien</w:t>
      </w:r>
      <w:r w:rsidR="00954A9C">
        <w:rPr>
          <w:rFonts w:ascii="Arial" w:eastAsia="Arial" w:hAnsi="Arial"/>
          <w:sz w:val="20"/>
          <w:szCs w:val="22"/>
          <w:lang w:val="es-CO"/>
        </w:rPr>
        <w:t xml:space="preserve"> existen evidencias que dan cuenta de las actividades desplegadas por los responsables del proceso, desde la óptica de un modelo de control efectivo ellas carecen de mayor nivel de </w:t>
      </w:r>
      <w:r w:rsidR="00F0304C" w:rsidRPr="00950402">
        <w:rPr>
          <w:rFonts w:ascii="Arial" w:eastAsia="Arial" w:hAnsi="Arial"/>
          <w:sz w:val="20"/>
          <w:szCs w:val="22"/>
          <w:lang w:val="es-CO"/>
        </w:rPr>
        <w:t>solidez y penetración</w:t>
      </w:r>
      <w:r w:rsidR="00954A9C">
        <w:rPr>
          <w:rFonts w:ascii="Arial" w:eastAsia="Arial" w:hAnsi="Arial"/>
          <w:sz w:val="20"/>
          <w:szCs w:val="22"/>
          <w:lang w:val="es-CO"/>
        </w:rPr>
        <w:t>,</w:t>
      </w:r>
      <w:r w:rsidR="00F0304C" w:rsidRPr="00950402">
        <w:rPr>
          <w:rFonts w:ascii="Arial" w:eastAsia="Arial" w:hAnsi="Arial"/>
          <w:sz w:val="20"/>
          <w:szCs w:val="22"/>
          <w:lang w:val="es-CO"/>
        </w:rPr>
        <w:t xml:space="preserve"> que permita superar </w:t>
      </w:r>
      <w:r w:rsidRPr="00950402">
        <w:rPr>
          <w:rFonts w:ascii="Arial" w:eastAsia="Arial" w:hAnsi="Arial"/>
          <w:sz w:val="20"/>
          <w:szCs w:val="22"/>
          <w:lang w:val="es-CO"/>
        </w:rPr>
        <w:t xml:space="preserve">las debilidades identificadas. </w:t>
      </w:r>
    </w:p>
    <w:p w14:paraId="50390693" w14:textId="77777777" w:rsidR="00950402" w:rsidRDefault="00950402" w:rsidP="00950402">
      <w:pPr>
        <w:spacing w:after="0"/>
        <w:jc w:val="both"/>
        <w:rPr>
          <w:rFonts w:ascii="Arial" w:eastAsia="Arial" w:hAnsi="Arial"/>
          <w:sz w:val="20"/>
          <w:szCs w:val="22"/>
          <w:lang w:val="es-CO"/>
        </w:rPr>
      </w:pPr>
    </w:p>
    <w:p w14:paraId="4C69C537" w14:textId="58DEB344" w:rsidR="00E3134D" w:rsidRPr="00950402" w:rsidRDefault="003C7231" w:rsidP="00950402">
      <w:pPr>
        <w:spacing w:after="0"/>
        <w:jc w:val="both"/>
        <w:rPr>
          <w:rFonts w:ascii="Arial" w:eastAsia="Arial" w:hAnsi="Arial"/>
          <w:sz w:val="20"/>
          <w:szCs w:val="22"/>
          <w:lang w:val="es-CO"/>
        </w:rPr>
      </w:pPr>
      <w:r w:rsidRPr="00950402">
        <w:rPr>
          <w:rFonts w:ascii="Arial" w:eastAsia="Arial" w:hAnsi="Arial"/>
          <w:sz w:val="20"/>
          <w:szCs w:val="22"/>
          <w:lang w:val="es-CO"/>
        </w:rPr>
        <w:t>Cabe resalta</w:t>
      </w:r>
      <w:r w:rsidR="00A44276" w:rsidRPr="00950402">
        <w:rPr>
          <w:rFonts w:ascii="Arial" w:eastAsia="Arial" w:hAnsi="Arial"/>
          <w:sz w:val="20"/>
          <w:szCs w:val="22"/>
          <w:lang w:val="es-CO"/>
        </w:rPr>
        <w:t>r</w:t>
      </w:r>
      <w:r w:rsidRPr="00950402">
        <w:rPr>
          <w:rFonts w:ascii="Arial" w:eastAsia="Arial" w:hAnsi="Arial"/>
          <w:sz w:val="20"/>
          <w:szCs w:val="22"/>
          <w:lang w:val="es-CO"/>
        </w:rPr>
        <w:t xml:space="preserve"> que la ejecución presupuestal </w:t>
      </w:r>
      <w:r w:rsidR="00A4764F" w:rsidRPr="00950402">
        <w:rPr>
          <w:rFonts w:ascii="Arial" w:eastAsia="Arial" w:hAnsi="Arial"/>
          <w:sz w:val="20"/>
          <w:szCs w:val="22"/>
          <w:lang w:val="es-CO"/>
        </w:rPr>
        <w:t xml:space="preserve">ha mejorado en comparación con las vigencias 2015, 2016 y 2017, </w:t>
      </w:r>
      <w:r w:rsidR="00A44276" w:rsidRPr="00950402">
        <w:rPr>
          <w:rFonts w:ascii="Arial" w:eastAsia="Arial" w:hAnsi="Arial"/>
          <w:sz w:val="20"/>
          <w:szCs w:val="22"/>
          <w:lang w:val="es-CO"/>
        </w:rPr>
        <w:t xml:space="preserve">sin </w:t>
      </w:r>
      <w:r w:rsidR="004B2277" w:rsidRPr="00950402">
        <w:rPr>
          <w:rFonts w:ascii="Arial" w:eastAsia="Arial" w:hAnsi="Arial"/>
          <w:sz w:val="20"/>
          <w:szCs w:val="22"/>
          <w:lang w:val="es-CO"/>
        </w:rPr>
        <w:t>embargo,</w:t>
      </w:r>
      <w:r w:rsidR="00A44276" w:rsidRPr="00950402">
        <w:rPr>
          <w:rFonts w:ascii="Arial" w:eastAsia="Arial" w:hAnsi="Arial"/>
          <w:sz w:val="20"/>
          <w:szCs w:val="22"/>
          <w:lang w:val="es-CO"/>
        </w:rPr>
        <w:t xml:space="preserve"> las obligaciones y pagos</w:t>
      </w:r>
      <w:r w:rsidR="00954A9C">
        <w:rPr>
          <w:rFonts w:ascii="Arial" w:eastAsia="Arial" w:hAnsi="Arial"/>
          <w:sz w:val="20"/>
          <w:szCs w:val="22"/>
          <w:lang w:val="es-CO"/>
        </w:rPr>
        <w:t xml:space="preserve"> con respecto a los compromisos </w:t>
      </w:r>
      <w:r w:rsidR="00A44276" w:rsidRPr="00950402">
        <w:rPr>
          <w:rFonts w:ascii="Arial" w:eastAsia="Arial" w:hAnsi="Arial"/>
          <w:sz w:val="20"/>
          <w:szCs w:val="22"/>
          <w:lang w:val="es-CO"/>
        </w:rPr>
        <w:t xml:space="preserve">presentan </w:t>
      </w:r>
      <w:r w:rsidR="000528E6" w:rsidRPr="00950402">
        <w:rPr>
          <w:rFonts w:ascii="Arial" w:eastAsia="Arial" w:hAnsi="Arial"/>
          <w:sz w:val="20"/>
          <w:szCs w:val="22"/>
          <w:lang w:val="es-CO"/>
        </w:rPr>
        <w:t>una diferencia del 13%, la cual supera</w:t>
      </w:r>
      <w:r w:rsidR="004B2277" w:rsidRPr="00950402">
        <w:rPr>
          <w:rFonts w:ascii="Arial" w:eastAsia="Arial" w:hAnsi="Arial"/>
          <w:sz w:val="20"/>
          <w:szCs w:val="22"/>
          <w:lang w:val="es-CO"/>
        </w:rPr>
        <w:t xml:space="preserve"> </w:t>
      </w:r>
      <w:r w:rsidR="000528E6" w:rsidRPr="00950402">
        <w:rPr>
          <w:rFonts w:ascii="Arial" w:eastAsia="Arial" w:hAnsi="Arial"/>
          <w:sz w:val="20"/>
          <w:szCs w:val="22"/>
          <w:lang w:val="es-CO"/>
        </w:rPr>
        <w:t xml:space="preserve">el porcentaje </w:t>
      </w:r>
      <w:r w:rsidR="00A40DEA" w:rsidRPr="00950402">
        <w:rPr>
          <w:rFonts w:ascii="Arial" w:eastAsia="Arial" w:hAnsi="Arial"/>
          <w:sz w:val="20"/>
          <w:szCs w:val="22"/>
          <w:lang w:val="es-CO"/>
        </w:rPr>
        <w:t>del 8% de los años 2016 y 2017.</w:t>
      </w:r>
      <w:r w:rsidR="00954A9C">
        <w:rPr>
          <w:rFonts w:ascii="Arial" w:eastAsia="Arial" w:hAnsi="Arial"/>
          <w:sz w:val="20"/>
          <w:szCs w:val="22"/>
          <w:lang w:val="es-CO"/>
        </w:rPr>
        <w:t xml:space="preserve"> En este escenario la Oficina de Control Interno a través del Grupo Auditor recomienda tomar las medidas que considere pertinentes para que el ejercicio presupuestal real se ejecute conforme al ejercicio de planeación presupuestal inicialmente elaborado por la Entidad. </w:t>
      </w:r>
    </w:p>
    <w:p w14:paraId="3872CF14" w14:textId="77777777" w:rsidR="00950402" w:rsidRDefault="00950402" w:rsidP="00950402">
      <w:pPr>
        <w:spacing w:after="0"/>
        <w:jc w:val="both"/>
        <w:rPr>
          <w:rFonts w:ascii="Arial" w:eastAsia="Arial" w:hAnsi="Arial"/>
          <w:sz w:val="20"/>
          <w:szCs w:val="22"/>
          <w:lang w:val="es-CO"/>
        </w:rPr>
      </w:pPr>
    </w:p>
    <w:p w14:paraId="000782CF" w14:textId="4A87025F" w:rsidR="00AF50DF" w:rsidRPr="00950402" w:rsidRDefault="00AF50DF" w:rsidP="00950402">
      <w:pPr>
        <w:spacing w:after="0"/>
        <w:jc w:val="both"/>
        <w:rPr>
          <w:rFonts w:ascii="Arial" w:eastAsia="Calibri" w:hAnsi="Arial" w:cs="Arial"/>
          <w:b/>
          <w:sz w:val="20"/>
          <w:szCs w:val="20"/>
          <w:lang w:val="es-CO" w:eastAsia="es-ES"/>
        </w:rPr>
      </w:pPr>
      <w:r w:rsidRPr="00950402">
        <w:rPr>
          <w:rFonts w:ascii="Arial" w:eastAsia="Arial" w:hAnsi="Arial"/>
          <w:sz w:val="20"/>
          <w:szCs w:val="22"/>
          <w:lang w:val="es-CO"/>
        </w:rPr>
        <w:t>Por lo anterior</w:t>
      </w:r>
      <w:r w:rsidR="00FF2A2C" w:rsidRPr="00950402">
        <w:rPr>
          <w:rFonts w:ascii="Arial" w:eastAsia="Arial" w:hAnsi="Arial"/>
          <w:sz w:val="20"/>
          <w:szCs w:val="22"/>
          <w:lang w:val="es-CO"/>
        </w:rPr>
        <w:t>,</w:t>
      </w:r>
      <w:r w:rsidRPr="00950402">
        <w:rPr>
          <w:rFonts w:ascii="Arial" w:eastAsia="Arial" w:hAnsi="Arial"/>
          <w:sz w:val="20"/>
          <w:szCs w:val="22"/>
          <w:lang w:val="es-CO"/>
        </w:rPr>
        <w:t xml:space="preserve"> </w:t>
      </w:r>
      <w:r w:rsidR="00644833" w:rsidRPr="00950402">
        <w:rPr>
          <w:rFonts w:ascii="Arial" w:eastAsia="Arial" w:hAnsi="Arial"/>
          <w:sz w:val="20"/>
          <w:szCs w:val="22"/>
          <w:lang w:val="es-CO"/>
        </w:rPr>
        <w:t xml:space="preserve">la Oficina de </w:t>
      </w:r>
      <w:r w:rsidRPr="00950402">
        <w:rPr>
          <w:rFonts w:ascii="Arial" w:eastAsia="Arial" w:hAnsi="Arial"/>
          <w:sz w:val="20"/>
          <w:szCs w:val="22"/>
          <w:lang w:val="es-CO"/>
        </w:rPr>
        <w:t>Control Interno</w:t>
      </w:r>
      <w:r w:rsidR="00644833" w:rsidRPr="00950402">
        <w:rPr>
          <w:rFonts w:ascii="Arial" w:eastAsia="Arial" w:hAnsi="Arial"/>
          <w:sz w:val="20"/>
          <w:szCs w:val="22"/>
          <w:lang w:val="es-CO"/>
        </w:rPr>
        <w:t xml:space="preserve"> a través del Grupo Auditor </w:t>
      </w:r>
      <w:r w:rsidRPr="00950402">
        <w:rPr>
          <w:rFonts w:ascii="Arial" w:eastAsia="Arial" w:hAnsi="Arial"/>
          <w:sz w:val="20"/>
          <w:szCs w:val="22"/>
          <w:lang w:val="es-CO"/>
        </w:rPr>
        <w:t xml:space="preserve">recomienda </w:t>
      </w:r>
      <w:r w:rsidR="005D509F" w:rsidRPr="00950402">
        <w:rPr>
          <w:rFonts w:ascii="Arial" w:eastAsia="Arial" w:hAnsi="Arial"/>
          <w:sz w:val="20"/>
          <w:szCs w:val="22"/>
          <w:lang w:val="es-CO"/>
        </w:rPr>
        <w:t>a la Dirección</w:t>
      </w:r>
      <w:r w:rsidR="00644833" w:rsidRPr="00950402">
        <w:rPr>
          <w:rFonts w:ascii="Arial" w:eastAsia="Arial" w:hAnsi="Arial"/>
          <w:sz w:val="20"/>
          <w:szCs w:val="22"/>
          <w:lang w:val="es-CO"/>
        </w:rPr>
        <w:t xml:space="preserve"> General</w:t>
      </w:r>
      <w:r w:rsidR="005D509F" w:rsidRPr="00950402">
        <w:rPr>
          <w:rFonts w:ascii="Arial" w:eastAsia="Arial" w:hAnsi="Arial"/>
          <w:sz w:val="20"/>
          <w:szCs w:val="22"/>
          <w:lang w:val="es-CO"/>
        </w:rPr>
        <w:t xml:space="preserve"> solicitar al líder </w:t>
      </w:r>
      <w:r w:rsidR="0054658F" w:rsidRPr="00950402">
        <w:rPr>
          <w:rFonts w:ascii="Arial" w:eastAsia="Arial" w:hAnsi="Arial"/>
          <w:sz w:val="20"/>
          <w:szCs w:val="22"/>
          <w:lang w:val="es-CO"/>
        </w:rPr>
        <w:t>del proceso</w:t>
      </w:r>
      <w:r w:rsidR="005D509F" w:rsidRPr="00950402">
        <w:rPr>
          <w:rFonts w:ascii="Arial" w:eastAsia="Arial" w:hAnsi="Arial"/>
          <w:sz w:val="20"/>
          <w:szCs w:val="22"/>
          <w:lang w:val="es-CO"/>
        </w:rPr>
        <w:t xml:space="preserve"> la elaboración de un Plan de </w:t>
      </w:r>
      <w:r w:rsidR="00644833" w:rsidRPr="00950402">
        <w:rPr>
          <w:rFonts w:ascii="Arial" w:eastAsia="Arial" w:hAnsi="Arial"/>
          <w:sz w:val="20"/>
          <w:szCs w:val="22"/>
          <w:lang w:val="es-CO"/>
        </w:rPr>
        <w:t>Mejoramiento del</w:t>
      </w:r>
      <w:r w:rsidR="005D509F" w:rsidRPr="00950402">
        <w:rPr>
          <w:rFonts w:ascii="Arial" w:eastAsia="Arial" w:hAnsi="Arial"/>
          <w:sz w:val="20"/>
          <w:szCs w:val="22"/>
          <w:lang w:val="es-CO"/>
        </w:rPr>
        <w:t xml:space="preserve"> Sistema de Control Interno, donde se incluya</w:t>
      </w:r>
      <w:r w:rsidR="0054658F" w:rsidRPr="00950402">
        <w:rPr>
          <w:rFonts w:ascii="Arial" w:eastAsia="Arial" w:hAnsi="Arial"/>
          <w:sz w:val="20"/>
          <w:szCs w:val="22"/>
          <w:lang w:val="es-CO"/>
        </w:rPr>
        <w:t xml:space="preserve"> el tratamiento a la</w:t>
      </w:r>
      <w:r w:rsidR="00644833" w:rsidRPr="00950402">
        <w:rPr>
          <w:rFonts w:ascii="Arial" w:eastAsia="Arial" w:hAnsi="Arial"/>
          <w:sz w:val="20"/>
          <w:szCs w:val="22"/>
          <w:lang w:val="es-CO"/>
        </w:rPr>
        <w:t>s</w:t>
      </w:r>
      <w:r w:rsidR="0054658F" w:rsidRPr="00950402">
        <w:rPr>
          <w:rFonts w:ascii="Arial" w:eastAsia="Arial" w:hAnsi="Arial"/>
          <w:sz w:val="20"/>
          <w:szCs w:val="22"/>
          <w:lang w:val="es-CO"/>
        </w:rPr>
        <w:t xml:space="preserve"> debilidad</w:t>
      </w:r>
      <w:r w:rsidR="00644833" w:rsidRPr="00950402">
        <w:rPr>
          <w:rFonts w:ascii="Arial" w:eastAsia="Arial" w:hAnsi="Arial"/>
          <w:sz w:val="20"/>
          <w:szCs w:val="22"/>
          <w:lang w:val="es-CO"/>
        </w:rPr>
        <w:t>es</w:t>
      </w:r>
      <w:r w:rsidR="0054658F" w:rsidRPr="00950402">
        <w:rPr>
          <w:rFonts w:ascii="Arial" w:eastAsia="Arial" w:hAnsi="Arial"/>
          <w:sz w:val="20"/>
          <w:szCs w:val="22"/>
          <w:lang w:val="es-CO"/>
        </w:rPr>
        <w:t xml:space="preserve"> </w:t>
      </w:r>
      <w:r w:rsidR="005D509F" w:rsidRPr="00950402">
        <w:rPr>
          <w:rFonts w:ascii="Arial" w:eastAsia="Arial" w:hAnsi="Arial"/>
          <w:sz w:val="20"/>
          <w:szCs w:val="22"/>
          <w:lang w:val="es-CO"/>
        </w:rPr>
        <w:t>evidenciada</w:t>
      </w:r>
      <w:r w:rsidR="000528E6" w:rsidRPr="00950402">
        <w:rPr>
          <w:rFonts w:ascii="Arial" w:eastAsia="Arial" w:hAnsi="Arial"/>
          <w:sz w:val="20"/>
          <w:szCs w:val="22"/>
          <w:lang w:val="es-CO"/>
        </w:rPr>
        <w:t>s</w:t>
      </w:r>
      <w:r w:rsidR="005D509F" w:rsidRPr="00950402">
        <w:rPr>
          <w:rFonts w:ascii="Arial" w:eastAsia="Arial" w:hAnsi="Arial"/>
          <w:sz w:val="20"/>
          <w:szCs w:val="22"/>
          <w:lang w:val="es-CO"/>
        </w:rPr>
        <w:t xml:space="preserve"> en este informe. </w:t>
      </w:r>
    </w:p>
    <w:bookmarkEnd w:id="6"/>
    <w:p w14:paraId="3B31FE84" w14:textId="77777777" w:rsidR="00AF50DF" w:rsidRPr="0067522D" w:rsidRDefault="00AF50DF" w:rsidP="00A97CC5">
      <w:pPr>
        <w:spacing w:after="0"/>
        <w:jc w:val="both"/>
        <w:rPr>
          <w:rFonts w:ascii="Arial" w:eastAsia="Arial" w:hAnsi="Arial"/>
          <w:sz w:val="20"/>
          <w:szCs w:val="22"/>
          <w:lang w:val="es-CO"/>
        </w:rPr>
      </w:pPr>
    </w:p>
    <w:p w14:paraId="07FDD417" w14:textId="77777777" w:rsidR="00AF50DF" w:rsidRPr="0067522D" w:rsidRDefault="00AF50DF" w:rsidP="00A97CC5">
      <w:pPr>
        <w:spacing w:after="0"/>
        <w:jc w:val="both"/>
        <w:rPr>
          <w:rFonts w:ascii="Arial" w:eastAsia="Arial" w:hAnsi="Arial"/>
          <w:sz w:val="20"/>
          <w:szCs w:val="22"/>
          <w:lang w:val="es-CO"/>
        </w:rPr>
      </w:pPr>
    </w:p>
    <w:p w14:paraId="25E900DA" w14:textId="58BFCBC9" w:rsidR="0067522D" w:rsidRDefault="001E3B2E" w:rsidP="00A97CC5">
      <w:pPr>
        <w:spacing w:after="0"/>
        <w:jc w:val="both"/>
        <w:rPr>
          <w:rFonts w:ascii="Arial" w:eastAsia="Arial" w:hAnsi="Arial"/>
          <w:sz w:val="20"/>
          <w:szCs w:val="22"/>
          <w:lang w:val="es-CO"/>
        </w:rPr>
      </w:pPr>
      <w:r>
        <w:rPr>
          <w:rFonts w:ascii="Arial" w:eastAsia="Arial" w:hAnsi="Arial"/>
          <w:sz w:val="20"/>
          <w:szCs w:val="22"/>
          <w:lang w:val="es-CO"/>
        </w:rPr>
        <w:t>Cordialmente,</w:t>
      </w:r>
    </w:p>
    <w:p w14:paraId="04FE9F2E" w14:textId="50F9C44C" w:rsidR="0067522D" w:rsidRDefault="0067522D" w:rsidP="00A97CC5">
      <w:pPr>
        <w:spacing w:after="0"/>
        <w:jc w:val="both"/>
        <w:rPr>
          <w:rFonts w:ascii="Arial" w:eastAsia="Arial" w:hAnsi="Arial"/>
          <w:sz w:val="20"/>
          <w:szCs w:val="22"/>
          <w:lang w:val="es-CO"/>
        </w:rPr>
      </w:pPr>
    </w:p>
    <w:p w14:paraId="372D4EC0" w14:textId="77777777" w:rsidR="00A40DEA" w:rsidRPr="0067522D" w:rsidRDefault="00A40DEA" w:rsidP="00A97CC5">
      <w:pPr>
        <w:spacing w:after="0"/>
        <w:jc w:val="both"/>
        <w:rPr>
          <w:rFonts w:ascii="Arial" w:eastAsia="Arial" w:hAnsi="Arial"/>
          <w:sz w:val="20"/>
          <w:szCs w:val="22"/>
          <w:lang w:val="es-CO"/>
        </w:rPr>
      </w:pPr>
    </w:p>
    <w:p w14:paraId="6032E793" w14:textId="58427C16" w:rsidR="00AF50DF" w:rsidRPr="0067522D" w:rsidRDefault="00743D35" w:rsidP="00A97CC5">
      <w:pPr>
        <w:spacing w:after="0"/>
        <w:jc w:val="both"/>
        <w:rPr>
          <w:rFonts w:ascii="Arial" w:eastAsia="Arial" w:hAnsi="Arial"/>
          <w:b/>
          <w:sz w:val="20"/>
          <w:szCs w:val="22"/>
          <w:lang w:val="es-CO"/>
        </w:rPr>
      </w:pPr>
      <w:bookmarkStart w:id="7" w:name="_Hlk532398058"/>
      <w:r>
        <w:rPr>
          <w:rFonts w:ascii="Arial" w:eastAsia="Arial" w:hAnsi="Arial"/>
          <w:b/>
          <w:sz w:val="20"/>
          <w:szCs w:val="22"/>
          <w:lang w:val="es-CO"/>
        </w:rPr>
        <w:t>ANA MARÍA ÁNGEL ACOSTA</w:t>
      </w:r>
      <w:r w:rsidRPr="0067522D">
        <w:rPr>
          <w:rFonts w:ascii="Arial" w:eastAsia="Arial" w:hAnsi="Arial"/>
          <w:b/>
          <w:sz w:val="20"/>
          <w:szCs w:val="22"/>
          <w:lang w:val="es-CO"/>
        </w:rPr>
        <w:t xml:space="preserve"> </w:t>
      </w:r>
      <w:r>
        <w:rPr>
          <w:rFonts w:ascii="Arial" w:eastAsia="Arial" w:hAnsi="Arial"/>
          <w:b/>
          <w:sz w:val="20"/>
          <w:szCs w:val="22"/>
          <w:lang w:val="es-CO"/>
        </w:rPr>
        <w:tab/>
      </w:r>
      <w:r w:rsidR="0067522D">
        <w:rPr>
          <w:rFonts w:ascii="Arial" w:eastAsia="Arial" w:hAnsi="Arial"/>
          <w:b/>
          <w:sz w:val="20"/>
          <w:szCs w:val="22"/>
          <w:lang w:val="es-CO"/>
        </w:rPr>
        <w:tab/>
      </w:r>
      <w:r w:rsidR="00B30038">
        <w:rPr>
          <w:rFonts w:ascii="Arial" w:eastAsia="Arial" w:hAnsi="Arial"/>
          <w:b/>
          <w:sz w:val="20"/>
          <w:szCs w:val="22"/>
          <w:lang w:val="es-CO"/>
        </w:rPr>
        <w:t xml:space="preserve"> </w:t>
      </w:r>
      <w:r w:rsidR="00B30038">
        <w:rPr>
          <w:rFonts w:ascii="Arial" w:eastAsia="Arial" w:hAnsi="Arial"/>
          <w:b/>
          <w:sz w:val="20"/>
          <w:szCs w:val="22"/>
          <w:lang w:val="es-CO"/>
        </w:rPr>
        <w:tab/>
      </w:r>
      <w:r w:rsidR="00AF50DF" w:rsidRPr="0067522D">
        <w:rPr>
          <w:rFonts w:ascii="Arial" w:eastAsia="Arial" w:hAnsi="Arial"/>
          <w:b/>
          <w:sz w:val="20"/>
          <w:szCs w:val="22"/>
          <w:lang w:val="es-CO"/>
        </w:rPr>
        <w:t>CARLOS ARTURO ORDOÑEZ CASTRO</w:t>
      </w:r>
    </w:p>
    <w:p w14:paraId="1BEAEBB7" w14:textId="77777777" w:rsidR="00AF50DF" w:rsidRDefault="0067522D" w:rsidP="00A97CC5">
      <w:pPr>
        <w:spacing w:after="0"/>
        <w:jc w:val="both"/>
        <w:rPr>
          <w:rFonts w:ascii="Arial" w:eastAsia="Arial" w:hAnsi="Arial"/>
          <w:sz w:val="20"/>
          <w:szCs w:val="22"/>
          <w:lang w:val="es-CO"/>
        </w:rPr>
      </w:pPr>
      <w:r>
        <w:rPr>
          <w:rFonts w:ascii="Arial" w:eastAsia="Arial" w:hAnsi="Arial"/>
          <w:sz w:val="20"/>
          <w:szCs w:val="22"/>
          <w:lang w:val="es-CO"/>
        </w:rPr>
        <w:t>Auditor Líder</w:t>
      </w:r>
      <w:r>
        <w:rPr>
          <w:rFonts w:ascii="Arial" w:eastAsia="Arial" w:hAnsi="Arial"/>
          <w:sz w:val="20"/>
          <w:szCs w:val="22"/>
          <w:lang w:val="es-CO"/>
        </w:rPr>
        <w:tab/>
      </w:r>
      <w:r>
        <w:rPr>
          <w:rFonts w:ascii="Arial" w:eastAsia="Arial" w:hAnsi="Arial"/>
          <w:sz w:val="20"/>
          <w:szCs w:val="22"/>
          <w:lang w:val="es-CO"/>
        </w:rPr>
        <w:tab/>
      </w:r>
      <w:r>
        <w:rPr>
          <w:rFonts w:ascii="Arial" w:eastAsia="Arial" w:hAnsi="Arial"/>
          <w:sz w:val="20"/>
          <w:szCs w:val="22"/>
          <w:lang w:val="es-CO"/>
        </w:rPr>
        <w:tab/>
      </w:r>
      <w:r>
        <w:rPr>
          <w:rFonts w:ascii="Arial" w:eastAsia="Arial" w:hAnsi="Arial"/>
          <w:sz w:val="20"/>
          <w:szCs w:val="22"/>
          <w:lang w:val="es-CO"/>
        </w:rPr>
        <w:tab/>
      </w:r>
      <w:r>
        <w:rPr>
          <w:rFonts w:ascii="Arial" w:eastAsia="Arial" w:hAnsi="Arial"/>
          <w:sz w:val="20"/>
          <w:szCs w:val="22"/>
          <w:lang w:val="es-CO"/>
        </w:rPr>
        <w:tab/>
      </w:r>
      <w:r>
        <w:rPr>
          <w:rFonts w:ascii="Arial" w:eastAsia="Arial" w:hAnsi="Arial"/>
          <w:sz w:val="20"/>
          <w:szCs w:val="22"/>
          <w:lang w:val="es-CO"/>
        </w:rPr>
        <w:tab/>
        <w:t xml:space="preserve">Jefe Oficina de Control Interno </w:t>
      </w:r>
    </w:p>
    <w:bookmarkEnd w:id="7"/>
    <w:p w14:paraId="1E6181E1" w14:textId="77777777" w:rsidR="0067522D" w:rsidRDefault="0067522D" w:rsidP="00A97CC5">
      <w:pPr>
        <w:spacing w:after="0"/>
        <w:jc w:val="both"/>
        <w:rPr>
          <w:rFonts w:ascii="Arial" w:eastAsia="Arial" w:hAnsi="Arial"/>
          <w:sz w:val="20"/>
          <w:szCs w:val="22"/>
          <w:lang w:val="es-CO"/>
        </w:rPr>
      </w:pPr>
    </w:p>
    <w:p w14:paraId="1DC069A2" w14:textId="77777777" w:rsidR="0067522D" w:rsidRDefault="0067522D" w:rsidP="00A97CC5">
      <w:pPr>
        <w:spacing w:after="0"/>
        <w:jc w:val="both"/>
        <w:rPr>
          <w:rFonts w:ascii="Arial" w:eastAsia="Arial" w:hAnsi="Arial"/>
          <w:sz w:val="20"/>
          <w:szCs w:val="22"/>
          <w:lang w:val="es-CO"/>
        </w:rPr>
      </w:pPr>
    </w:p>
    <w:tbl>
      <w:tblPr>
        <w:tblStyle w:val="Tablaconcuadrcula"/>
        <w:tblW w:w="10349" w:type="dxa"/>
        <w:tblInd w:w="-431" w:type="dxa"/>
        <w:tblLook w:val="04A0" w:firstRow="1" w:lastRow="0" w:firstColumn="1" w:lastColumn="0" w:noHBand="0" w:noVBand="1"/>
      </w:tblPr>
      <w:tblGrid>
        <w:gridCol w:w="2269"/>
        <w:gridCol w:w="3119"/>
        <w:gridCol w:w="4961"/>
      </w:tblGrid>
      <w:tr w:rsidR="001345A5" w14:paraId="1DF77B0C" w14:textId="77777777" w:rsidTr="00F35B0E">
        <w:trPr>
          <w:cnfStyle w:val="100000000000" w:firstRow="1" w:lastRow="0" w:firstColumn="0" w:lastColumn="0" w:oddVBand="0" w:evenVBand="0" w:oddHBand="0" w:evenHBand="0" w:firstRowFirstColumn="0" w:firstRowLastColumn="0" w:lastRowFirstColumn="0" w:lastRowLastColumn="0"/>
        </w:trPr>
        <w:tc>
          <w:tcPr>
            <w:tcW w:w="2269" w:type="dxa"/>
            <w:shd w:val="clear" w:color="auto" w:fill="C00000"/>
          </w:tcPr>
          <w:p w14:paraId="79A13DF8" w14:textId="77777777" w:rsidR="001345A5" w:rsidRPr="001345A5" w:rsidRDefault="001345A5" w:rsidP="00F35B0E">
            <w:pPr>
              <w:tabs>
                <w:tab w:val="left" w:pos="5445"/>
              </w:tabs>
              <w:rPr>
                <w:color w:val="FFFFFF" w:themeColor="background1"/>
                <w:lang w:eastAsia="es-ES"/>
              </w:rPr>
            </w:pPr>
            <w:r w:rsidRPr="001345A5">
              <w:rPr>
                <w:rFonts w:ascii="Arial Narrow" w:hAnsi="Arial Narrow" w:cs="Arial"/>
                <w:color w:val="FFFFFF" w:themeColor="background1"/>
              </w:rPr>
              <w:t xml:space="preserve">            Versión</w:t>
            </w:r>
          </w:p>
        </w:tc>
        <w:tc>
          <w:tcPr>
            <w:tcW w:w="3119" w:type="dxa"/>
            <w:shd w:val="clear" w:color="auto" w:fill="C00000"/>
          </w:tcPr>
          <w:p w14:paraId="39D3564B" w14:textId="77777777" w:rsidR="001345A5" w:rsidRPr="001345A5" w:rsidRDefault="001345A5" w:rsidP="00F35B0E">
            <w:pPr>
              <w:tabs>
                <w:tab w:val="left" w:pos="5445"/>
              </w:tabs>
              <w:jc w:val="center"/>
              <w:rPr>
                <w:color w:val="FFFFFF" w:themeColor="background1"/>
                <w:lang w:eastAsia="es-ES"/>
              </w:rPr>
            </w:pPr>
            <w:r w:rsidRPr="001345A5">
              <w:rPr>
                <w:rFonts w:ascii="Arial Narrow" w:hAnsi="Arial Narrow" w:cs="Arial"/>
                <w:color w:val="FFFFFF" w:themeColor="background1"/>
              </w:rPr>
              <w:t>Fecha del Cambio</w:t>
            </w:r>
          </w:p>
        </w:tc>
        <w:tc>
          <w:tcPr>
            <w:tcW w:w="4961" w:type="dxa"/>
            <w:shd w:val="clear" w:color="auto" w:fill="C00000"/>
          </w:tcPr>
          <w:p w14:paraId="7BA2572E" w14:textId="77777777" w:rsidR="001345A5" w:rsidRPr="001345A5" w:rsidRDefault="001345A5" w:rsidP="00F35B0E">
            <w:pPr>
              <w:tabs>
                <w:tab w:val="left" w:pos="5445"/>
              </w:tabs>
              <w:jc w:val="center"/>
              <w:rPr>
                <w:color w:val="FFFFFF" w:themeColor="background1"/>
                <w:lang w:eastAsia="es-ES"/>
              </w:rPr>
            </w:pPr>
            <w:r w:rsidRPr="001345A5">
              <w:rPr>
                <w:rFonts w:ascii="Arial Narrow" w:hAnsi="Arial Narrow" w:cs="Arial"/>
                <w:color w:val="FFFFFF" w:themeColor="background1"/>
              </w:rPr>
              <w:t>Descripción de la modificación</w:t>
            </w:r>
            <w:r w:rsidRPr="001345A5">
              <w:rPr>
                <w:color w:val="FFFFFF" w:themeColor="background1"/>
                <w:lang w:eastAsia="es-ES"/>
              </w:rPr>
              <w:t xml:space="preserve"> </w:t>
            </w:r>
          </w:p>
        </w:tc>
      </w:tr>
      <w:tr w:rsidR="001345A5" w14:paraId="05E579EA" w14:textId="77777777" w:rsidTr="00F35B0E">
        <w:tc>
          <w:tcPr>
            <w:tcW w:w="2269" w:type="dxa"/>
            <w:shd w:val="clear" w:color="auto" w:fill="auto"/>
          </w:tcPr>
          <w:p w14:paraId="3A382E3D" w14:textId="77777777" w:rsidR="001345A5" w:rsidRPr="001345A5" w:rsidRDefault="001345A5" w:rsidP="00F35B0E">
            <w:pPr>
              <w:pStyle w:val="Prrafodelista"/>
              <w:ind w:left="0"/>
              <w:jc w:val="center"/>
              <w:rPr>
                <w:rFonts w:ascii="Arial Narrow" w:hAnsi="Arial Narrow" w:cs="Arial"/>
                <w:sz w:val="20"/>
              </w:rPr>
            </w:pPr>
          </w:p>
          <w:p w14:paraId="18529A74" w14:textId="77777777" w:rsidR="001345A5" w:rsidRPr="001345A5" w:rsidRDefault="001345A5" w:rsidP="00F35B0E">
            <w:pPr>
              <w:pStyle w:val="Prrafodelista"/>
              <w:ind w:left="0"/>
              <w:jc w:val="center"/>
              <w:rPr>
                <w:rFonts w:ascii="Arial Narrow" w:hAnsi="Arial Narrow" w:cs="Arial"/>
                <w:sz w:val="20"/>
              </w:rPr>
            </w:pPr>
            <w:r w:rsidRPr="001345A5">
              <w:rPr>
                <w:rFonts w:ascii="Arial Narrow" w:hAnsi="Arial Narrow" w:cs="Arial"/>
                <w:sz w:val="20"/>
              </w:rPr>
              <w:t>1</w:t>
            </w:r>
          </w:p>
          <w:p w14:paraId="33FC01C6" w14:textId="77777777" w:rsidR="001345A5" w:rsidRPr="001345A5" w:rsidRDefault="001345A5" w:rsidP="00F35B0E">
            <w:pPr>
              <w:pStyle w:val="Prrafodelista"/>
              <w:ind w:left="0"/>
              <w:jc w:val="center"/>
              <w:rPr>
                <w:rFonts w:ascii="Arial Narrow" w:hAnsi="Arial Narrow" w:cs="Arial"/>
                <w:b/>
              </w:rPr>
            </w:pPr>
          </w:p>
        </w:tc>
        <w:tc>
          <w:tcPr>
            <w:tcW w:w="3119" w:type="dxa"/>
            <w:shd w:val="clear" w:color="auto" w:fill="auto"/>
          </w:tcPr>
          <w:p w14:paraId="65DCD428" w14:textId="77777777" w:rsidR="001345A5" w:rsidRPr="001345A5" w:rsidRDefault="001345A5" w:rsidP="00F35B0E">
            <w:pPr>
              <w:pStyle w:val="Prrafodelista"/>
              <w:ind w:left="0"/>
              <w:jc w:val="center"/>
              <w:rPr>
                <w:rFonts w:ascii="Arial Narrow" w:hAnsi="Arial Narrow" w:cs="Arial"/>
                <w:sz w:val="20"/>
              </w:rPr>
            </w:pPr>
          </w:p>
          <w:p w14:paraId="63C3EA74" w14:textId="77777777" w:rsidR="001345A5" w:rsidRPr="001345A5" w:rsidRDefault="001345A5" w:rsidP="00F35B0E">
            <w:pPr>
              <w:pStyle w:val="Prrafodelista"/>
              <w:ind w:left="0"/>
              <w:jc w:val="center"/>
              <w:rPr>
                <w:rFonts w:ascii="Arial Narrow" w:hAnsi="Arial Narrow" w:cs="Arial"/>
                <w:b/>
              </w:rPr>
            </w:pPr>
            <w:r w:rsidRPr="001345A5">
              <w:rPr>
                <w:rFonts w:ascii="Arial Narrow" w:hAnsi="Arial Narrow" w:cs="Arial"/>
                <w:sz w:val="20"/>
              </w:rPr>
              <w:t>30/04/2014</w:t>
            </w:r>
          </w:p>
        </w:tc>
        <w:tc>
          <w:tcPr>
            <w:tcW w:w="4961" w:type="dxa"/>
            <w:shd w:val="clear" w:color="auto" w:fill="auto"/>
          </w:tcPr>
          <w:p w14:paraId="6E0661DE" w14:textId="77777777" w:rsidR="001345A5" w:rsidRPr="001345A5" w:rsidRDefault="001345A5" w:rsidP="00F35B0E">
            <w:pPr>
              <w:tabs>
                <w:tab w:val="left" w:pos="5445"/>
              </w:tabs>
              <w:rPr>
                <w:rFonts w:ascii="Arial Narrow" w:hAnsi="Arial Narrow" w:cs="Arial"/>
                <w:b/>
              </w:rPr>
            </w:pPr>
            <w:r w:rsidRPr="001345A5">
              <w:rPr>
                <w:rFonts w:ascii="Arial Narrow" w:hAnsi="Arial Narrow" w:cs="Arial"/>
                <w:sz w:val="20"/>
              </w:rPr>
              <w:t>Se crea formato</w:t>
            </w:r>
          </w:p>
        </w:tc>
      </w:tr>
      <w:tr w:rsidR="001345A5" w14:paraId="24E52AC4" w14:textId="77777777" w:rsidTr="00F35B0E">
        <w:trPr>
          <w:trHeight w:val="595"/>
        </w:trPr>
        <w:tc>
          <w:tcPr>
            <w:tcW w:w="2269" w:type="dxa"/>
            <w:vAlign w:val="center"/>
          </w:tcPr>
          <w:p w14:paraId="4F82A7A6" w14:textId="77777777" w:rsidR="001345A5" w:rsidRPr="001345A5" w:rsidRDefault="001345A5" w:rsidP="00F35B0E">
            <w:pPr>
              <w:pStyle w:val="Prrafodelista"/>
              <w:ind w:left="0"/>
              <w:jc w:val="center"/>
              <w:rPr>
                <w:rFonts w:ascii="Arial Narrow" w:hAnsi="Arial Narrow" w:cs="Arial"/>
                <w:sz w:val="20"/>
              </w:rPr>
            </w:pPr>
            <w:r w:rsidRPr="001345A5">
              <w:rPr>
                <w:rFonts w:ascii="Arial Narrow" w:hAnsi="Arial Narrow" w:cs="Arial"/>
                <w:sz w:val="20"/>
              </w:rPr>
              <w:t>2</w:t>
            </w:r>
          </w:p>
        </w:tc>
        <w:tc>
          <w:tcPr>
            <w:tcW w:w="3119" w:type="dxa"/>
            <w:vAlign w:val="center"/>
          </w:tcPr>
          <w:p w14:paraId="62667A7F" w14:textId="77777777" w:rsidR="001345A5" w:rsidRPr="001345A5" w:rsidRDefault="001345A5" w:rsidP="00F35B0E">
            <w:pPr>
              <w:pStyle w:val="Prrafodelista"/>
              <w:ind w:left="0"/>
              <w:jc w:val="center"/>
              <w:rPr>
                <w:rFonts w:ascii="Arial Narrow" w:hAnsi="Arial Narrow" w:cs="Arial"/>
                <w:sz w:val="20"/>
              </w:rPr>
            </w:pPr>
            <w:r w:rsidRPr="001345A5">
              <w:rPr>
                <w:rFonts w:ascii="Arial Narrow" w:hAnsi="Arial Narrow" w:cs="Arial"/>
                <w:sz w:val="20"/>
              </w:rPr>
              <w:t>24/02/2015</w:t>
            </w:r>
          </w:p>
        </w:tc>
        <w:tc>
          <w:tcPr>
            <w:tcW w:w="4961" w:type="dxa"/>
            <w:vAlign w:val="center"/>
          </w:tcPr>
          <w:p w14:paraId="10764942" w14:textId="77777777" w:rsidR="001345A5" w:rsidRPr="001345A5" w:rsidRDefault="001345A5" w:rsidP="00F35B0E">
            <w:pPr>
              <w:pStyle w:val="Prrafodelista"/>
              <w:ind w:left="0"/>
              <w:jc w:val="both"/>
              <w:rPr>
                <w:rFonts w:ascii="Arial Narrow" w:hAnsi="Arial Narrow" w:cs="Arial"/>
                <w:sz w:val="20"/>
              </w:rPr>
            </w:pPr>
            <w:r w:rsidRPr="001345A5">
              <w:rPr>
                <w:rFonts w:ascii="Arial Narrow" w:hAnsi="Arial Narrow" w:cs="Arial"/>
                <w:sz w:val="20"/>
              </w:rPr>
              <w:t>Se incluye el ítem de número de informe. Se elimina el ítem 4.2 oportunidades de mejora.</w:t>
            </w:r>
          </w:p>
        </w:tc>
      </w:tr>
      <w:tr w:rsidR="001345A5" w14:paraId="0853E4E2" w14:textId="77777777" w:rsidTr="00F35B0E">
        <w:trPr>
          <w:trHeight w:val="689"/>
        </w:trPr>
        <w:tc>
          <w:tcPr>
            <w:tcW w:w="2269" w:type="dxa"/>
            <w:vAlign w:val="center"/>
          </w:tcPr>
          <w:p w14:paraId="06A6671D" w14:textId="77777777" w:rsidR="001345A5" w:rsidRPr="001345A5" w:rsidRDefault="001345A5" w:rsidP="00F35B0E">
            <w:pPr>
              <w:pStyle w:val="Prrafodelista"/>
              <w:ind w:left="0"/>
              <w:jc w:val="center"/>
              <w:rPr>
                <w:rFonts w:ascii="Arial Narrow" w:hAnsi="Arial Narrow" w:cs="Arial"/>
                <w:sz w:val="20"/>
              </w:rPr>
            </w:pPr>
            <w:r w:rsidRPr="001345A5">
              <w:rPr>
                <w:rFonts w:ascii="Arial Narrow" w:hAnsi="Arial Narrow" w:cs="Arial"/>
                <w:sz w:val="20"/>
              </w:rPr>
              <w:t>3</w:t>
            </w:r>
          </w:p>
        </w:tc>
        <w:tc>
          <w:tcPr>
            <w:tcW w:w="3119" w:type="dxa"/>
            <w:vAlign w:val="center"/>
          </w:tcPr>
          <w:p w14:paraId="38CE8912" w14:textId="77777777" w:rsidR="001345A5" w:rsidRPr="001345A5" w:rsidRDefault="001345A5" w:rsidP="00F35B0E">
            <w:pPr>
              <w:pStyle w:val="Prrafodelista"/>
              <w:ind w:left="0"/>
              <w:jc w:val="center"/>
              <w:rPr>
                <w:rFonts w:ascii="Arial Narrow" w:hAnsi="Arial Narrow" w:cs="Arial"/>
                <w:sz w:val="20"/>
              </w:rPr>
            </w:pPr>
            <w:r w:rsidRPr="001345A5">
              <w:rPr>
                <w:rFonts w:ascii="Arial Narrow" w:hAnsi="Arial Narrow" w:cs="Arial"/>
                <w:sz w:val="20"/>
              </w:rPr>
              <w:t>21/07/2015</w:t>
            </w:r>
          </w:p>
        </w:tc>
        <w:tc>
          <w:tcPr>
            <w:tcW w:w="4961" w:type="dxa"/>
            <w:vAlign w:val="center"/>
          </w:tcPr>
          <w:p w14:paraId="666D4098" w14:textId="77777777" w:rsidR="001345A5" w:rsidRPr="001345A5" w:rsidRDefault="001345A5" w:rsidP="00F35B0E">
            <w:pPr>
              <w:pStyle w:val="Prrafodelista"/>
              <w:ind w:left="0"/>
              <w:jc w:val="both"/>
              <w:rPr>
                <w:rFonts w:ascii="Arial Narrow" w:hAnsi="Arial Narrow" w:cs="Arial"/>
                <w:sz w:val="20"/>
              </w:rPr>
            </w:pPr>
            <w:r w:rsidRPr="001345A5">
              <w:rPr>
                <w:rFonts w:ascii="Arial Narrow" w:hAnsi="Arial Narrow" w:cs="Arial"/>
                <w:sz w:val="20"/>
              </w:rPr>
              <w:t xml:space="preserve">Se incluye la opción tipo de informe, con el fin de poder entregar un informe preliminar o final. </w:t>
            </w:r>
          </w:p>
        </w:tc>
      </w:tr>
      <w:tr w:rsidR="001345A5" w14:paraId="513107EB" w14:textId="77777777" w:rsidTr="00F35B0E">
        <w:tc>
          <w:tcPr>
            <w:tcW w:w="2269" w:type="dxa"/>
            <w:vAlign w:val="center"/>
          </w:tcPr>
          <w:p w14:paraId="15806787" w14:textId="77777777" w:rsidR="001345A5" w:rsidRPr="001345A5" w:rsidRDefault="001345A5" w:rsidP="00F35B0E">
            <w:pPr>
              <w:pStyle w:val="Prrafodelista"/>
              <w:ind w:left="0"/>
              <w:jc w:val="center"/>
              <w:rPr>
                <w:rFonts w:ascii="Arial Narrow" w:hAnsi="Arial Narrow" w:cs="Arial"/>
                <w:sz w:val="20"/>
              </w:rPr>
            </w:pPr>
          </w:p>
          <w:p w14:paraId="7A106D12" w14:textId="77777777" w:rsidR="001345A5" w:rsidRPr="001345A5" w:rsidRDefault="001345A5" w:rsidP="00F35B0E">
            <w:pPr>
              <w:pStyle w:val="Prrafodelista"/>
              <w:ind w:left="0"/>
              <w:jc w:val="center"/>
              <w:rPr>
                <w:rFonts w:ascii="Arial Narrow" w:hAnsi="Arial Narrow" w:cs="Arial"/>
                <w:sz w:val="20"/>
              </w:rPr>
            </w:pPr>
            <w:r w:rsidRPr="001345A5">
              <w:rPr>
                <w:rFonts w:ascii="Arial Narrow" w:hAnsi="Arial Narrow" w:cs="Arial"/>
                <w:sz w:val="20"/>
              </w:rPr>
              <w:t xml:space="preserve">4 </w:t>
            </w:r>
          </w:p>
        </w:tc>
        <w:tc>
          <w:tcPr>
            <w:tcW w:w="3119" w:type="dxa"/>
            <w:vAlign w:val="center"/>
          </w:tcPr>
          <w:p w14:paraId="6335533B" w14:textId="77777777" w:rsidR="001345A5" w:rsidRPr="001345A5" w:rsidRDefault="001345A5" w:rsidP="00F35B0E">
            <w:pPr>
              <w:pStyle w:val="Prrafodelista"/>
              <w:ind w:left="0"/>
              <w:jc w:val="center"/>
              <w:rPr>
                <w:rFonts w:ascii="Arial Narrow" w:hAnsi="Arial Narrow" w:cs="Arial"/>
                <w:sz w:val="20"/>
              </w:rPr>
            </w:pPr>
            <w:r w:rsidRPr="001345A5">
              <w:rPr>
                <w:rFonts w:ascii="Arial Narrow" w:hAnsi="Arial Narrow" w:cs="Arial"/>
                <w:sz w:val="20"/>
              </w:rPr>
              <w:t>15/04/2016</w:t>
            </w:r>
          </w:p>
        </w:tc>
        <w:tc>
          <w:tcPr>
            <w:tcW w:w="4961" w:type="dxa"/>
            <w:vAlign w:val="center"/>
          </w:tcPr>
          <w:p w14:paraId="0FC6FCD7" w14:textId="77777777" w:rsidR="001345A5" w:rsidRPr="001345A5" w:rsidRDefault="001345A5" w:rsidP="00F35B0E">
            <w:pPr>
              <w:pStyle w:val="Prrafodelista"/>
              <w:ind w:left="0"/>
              <w:jc w:val="both"/>
              <w:rPr>
                <w:rFonts w:ascii="Arial Narrow" w:hAnsi="Arial Narrow" w:cs="Arial"/>
                <w:sz w:val="20"/>
              </w:rPr>
            </w:pPr>
            <w:r w:rsidRPr="001345A5">
              <w:rPr>
                <w:rFonts w:ascii="Arial Narrow" w:hAnsi="Arial Narrow" w:cs="Arial"/>
                <w:sz w:val="20"/>
              </w:rPr>
              <w:t>Se incluye cuadro elaboró, revisó y aprobó.</w:t>
            </w:r>
          </w:p>
          <w:p w14:paraId="5FDE87FD" w14:textId="77777777" w:rsidR="001345A5" w:rsidRPr="001345A5" w:rsidRDefault="001345A5" w:rsidP="00F35B0E">
            <w:pPr>
              <w:pStyle w:val="Prrafodelista"/>
              <w:ind w:left="0"/>
              <w:jc w:val="both"/>
              <w:rPr>
                <w:rFonts w:ascii="Arial Narrow" w:hAnsi="Arial Narrow" w:cs="Arial"/>
                <w:sz w:val="20"/>
              </w:rPr>
            </w:pPr>
            <w:r w:rsidRPr="001345A5">
              <w:rPr>
                <w:rFonts w:ascii="Arial Narrow" w:hAnsi="Arial Narrow" w:cs="Arial"/>
                <w:sz w:val="20"/>
              </w:rPr>
              <w:t>Se incluyen numerales 4.4 Sobre indicadores, 4.5 Verificación de riesgos y 4.6 verificación de controles</w:t>
            </w:r>
          </w:p>
          <w:p w14:paraId="7713E47A" w14:textId="77777777" w:rsidR="001345A5" w:rsidRPr="001345A5" w:rsidRDefault="001345A5" w:rsidP="00F35B0E">
            <w:pPr>
              <w:pStyle w:val="Prrafodelista"/>
              <w:ind w:left="0"/>
              <w:jc w:val="both"/>
              <w:rPr>
                <w:rFonts w:ascii="Arial Narrow" w:hAnsi="Arial Narrow" w:cs="Arial"/>
                <w:sz w:val="20"/>
              </w:rPr>
            </w:pPr>
            <w:r w:rsidRPr="001345A5">
              <w:rPr>
                <w:rFonts w:ascii="Arial Narrow" w:hAnsi="Arial Narrow" w:cs="Arial"/>
                <w:sz w:val="20"/>
              </w:rPr>
              <w:t xml:space="preserve">Se incluye cuadro responsable de la auditoria </w:t>
            </w:r>
          </w:p>
        </w:tc>
      </w:tr>
      <w:tr w:rsidR="001345A5" w14:paraId="631F46EE" w14:textId="77777777" w:rsidTr="00F35B0E">
        <w:tc>
          <w:tcPr>
            <w:tcW w:w="2269" w:type="dxa"/>
            <w:vAlign w:val="center"/>
          </w:tcPr>
          <w:p w14:paraId="610995EA" w14:textId="77777777" w:rsidR="001345A5" w:rsidRPr="001345A5" w:rsidRDefault="001345A5" w:rsidP="00F35B0E">
            <w:pPr>
              <w:pStyle w:val="Prrafodelista"/>
              <w:ind w:left="0"/>
              <w:jc w:val="center"/>
              <w:rPr>
                <w:rFonts w:ascii="Arial Narrow" w:hAnsi="Arial Narrow" w:cs="Arial"/>
                <w:sz w:val="20"/>
              </w:rPr>
            </w:pPr>
            <w:bookmarkStart w:id="8" w:name="_Hlk485378690"/>
          </w:p>
          <w:p w14:paraId="47C92027" w14:textId="77777777" w:rsidR="001345A5" w:rsidRPr="001345A5" w:rsidRDefault="001345A5" w:rsidP="00F35B0E">
            <w:pPr>
              <w:pStyle w:val="Prrafodelista"/>
              <w:ind w:left="0"/>
              <w:jc w:val="center"/>
              <w:rPr>
                <w:rFonts w:ascii="Arial Narrow" w:hAnsi="Arial Narrow" w:cs="Arial"/>
                <w:sz w:val="20"/>
              </w:rPr>
            </w:pPr>
            <w:r w:rsidRPr="001345A5">
              <w:rPr>
                <w:rFonts w:ascii="Arial Narrow" w:hAnsi="Arial Narrow" w:cs="Arial"/>
                <w:sz w:val="20"/>
              </w:rPr>
              <w:t>5</w:t>
            </w:r>
          </w:p>
          <w:p w14:paraId="09E35276" w14:textId="77777777" w:rsidR="001345A5" w:rsidRPr="001345A5" w:rsidRDefault="001345A5" w:rsidP="00F35B0E">
            <w:pPr>
              <w:pStyle w:val="Prrafodelista"/>
              <w:ind w:left="0"/>
              <w:jc w:val="center"/>
              <w:rPr>
                <w:rFonts w:ascii="Arial Narrow" w:hAnsi="Arial Narrow" w:cs="Arial"/>
                <w:sz w:val="20"/>
              </w:rPr>
            </w:pPr>
          </w:p>
        </w:tc>
        <w:tc>
          <w:tcPr>
            <w:tcW w:w="3119" w:type="dxa"/>
            <w:vAlign w:val="center"/>
          </w:tcPr>
          <w:p w14:paraId="70DF279F" w14:textId="77777777" w:rsidR="001345A5" w:rsidRPr="001345A5" w:rsidRDefault="001345A5" w:rsidP="00F35B0E">
            <w:pPr>
              <w:pStyle w:val="Prrafodelista"/>
              <w:ind w:left="0"/>
              <w:jc w:val="center"/>
              <w:rPr>
                <w:rFonts w:ascii="Arial Narrow" w:hAnsi="Arial Narrow" w:cs="Arial"/>
                <w:sz w:val="20"/>
              </w:rPr>
            </w:pPr>
            <w:r w:rsidRPr="001345A5">
              <w:rPr>
                <w:rFonts w:ascii="Arial Narrow" w:hAnsi="Arial Narrow" w:cs="Arial"/>
                <w:sz w:val="20"/>
              </w:rPr>
              <w:t>05</w:t>
            </w:r>
            <w:r>
              <w:rPr>
                <w:rFonts w:ascii="Arial Narrow" w:hAnsi="Arial Narrow" w:cs="Arial"/>
                <w:sz w:val="20"/>
              </w:rPr>
              <w:t>/0</w:t>
            </w:r>
            <w:r w:rsidRPr="001345A5">
              <w:rPr>
                <w:rFonts w:ascii="Arial Narrow" w:hAnsi="Arial Narrow" w:cs="Arial"/>
                <w:sz w:val="20"/>
              </w:rPr>
              <w:t>6/2017</w:t>
            </w:r>
          </w:p>
        </w:tc>
        <w:tc>
          <w:tcPr>
            <w:tcW w:w="4961" w:type="dxa"/>
            <w:vAlign w:val="center"/>
          </w:tcPr>
          <w:p w14:paraId="3BFFE5CA" w14:textId="77777777" w:rsidR="001345A5" w:rsidRPr="001345A5" w:rsidRDefault="001345A5" w:rsidP="00F35B0E">
            <w:pPr>
              <w:pStyle w:val="Prrafodelista"/>
              <w:ind w:left="0"/>
              <w:jc w:val="both"/>
              <w:rPr>
                <w:rFonts w:ascii="Arial Narrow" w:hAnsi="Arial Narrow" w:cs="Arial"/>
                <w:sz w:val="20"/>
              </w:rPr>
            </w:pPr>
            <w:r w:rsidRPr="001345A5">
              <w:rPr>
                <w:rFonts w:ascii="Arial Narrow" w:hAnsi="Arial Narrow" w:cs="Arial"/>
                <w:sz w:val="20"/>
              </w:rPr>
              <w:t>Se modifica formato, se adiciona aprobación Jefe Oficina de Control Interno.</w:t>
            </w:r>
          </w:p>
        </w:tc>
      </w:tr>
      <w:tr w:rsidR="001345A5" w14:paraId="6BE36A7A" w14:textId="77777777" w:rsidTr="00F35B0E">
        <w:tc>
          <w:tcPr>
            <w:tcW w:w="2269" w:type="dxa"/>
            <w:vAlign w:val="center"/>
          </w:tcPr>
          <w:p w14:paraId="41F0FC6A" w14:textId="77777777" w:rsidR="001345A5" w:rsidRPr="001345A5" w:rsidRDefault="001345A5" w:rsidP="00F35B0E">
            <w:pPr>
              <w:pStyle w:val="Prrafodelista"/>
              <w:ind w:left="0"/>
              <w:jc w:val="center"/>
              <w:rPr>
                <w:rFonts w:ascii="Arial Narrow" w:hAnsi="Arial Narrow" w:cs="Arial"/>
                <w:sz w:val="20"/>
              </w:rPr>
            </w:pPr>
            <w:r>
              <w:rPr>
                <w:rFonts w:ascii="Arial Narrow" w:hAnsi="Arial Narrow" w:cs="Arial"/>
                <w:sz w:val="20"/>
              </w:rPr>
              <w:t>6</w:t>
            </w:r>
          </w:p>
        </w:tc>
        <w:tc>
          <w:tcPr>
            <w:tcW w:w="3119" w:type="dxa"/>
            <w:vAlign w:val="center"/>
          </w:tcPr>
          <w:p w14:paraId="5510542F" w14:textId="77777777" w:rsidR="001345A5" w:rsidRPr="001345A5" w:rsidRDefault="00516A65" w:rsidP="00F35B0E">
            <w:pPr>
              <w:pStyle w:val="Prrafodelista"/>
              <w:ind w:left="0"/>
              <w:jc w:val="center"/>
              <w:rPr>
                <w:rFonts w:ascii="Arial Narrow" w:hAnsi="Arial Narrow" w:cs="Arial"/>
                <w:sz w:val="20"/>
              </w:rPr>
            </w:pPr>
            <w:r>
              <w:rPr>
                <w:rFonts w:ascii="Arial Narrow" w:hAnsi="Arial Narrow" w:cs="Arial"/>
                <w:sz w:val="20"/>
              </w:rPr>
              <w:t>Abril /2018</w:t>
            </w:r>
          </w:p>
        </w:tc>
        <w:tc>
          <w:tcPr>
            <w:tcW w:w="4961" w:type="dxa"/>
            <w:vAlign w:val="center"/>
          </w:tcPr>
          <w:p w14:paraId="6E7A7B91" w14:textId="77777777" w:rsidR="001345A5" w:rsidRPr="001345A5" w:rsidRDefault="00516A65" w:rsidP="00F35B0E">
            <w:pPr>
              <w:pStyle w:val="Prrafodelista"/>
              <w:ind w:left="0"/>
              <w:jc w:val="both"/>
              <w:rPr>
                <w:rFonts w:ascii="Arial Narrow" w:hAnsi="Arial Narrow" w:cs="Arial"/>
                <w:sz w:val="20"/>
              </w:rPr>
            </w:pPr>
            <w:r>
              <w:rPr>
                <w:rFonts w:ascii="Arial Narrow" w:hAnsi="Arial Narrow" w:cs="Arial"/>
                <w:sz w:val="20"/>
              </w:rPr>
              <w:t xml:space="preserve">Se modifica formato de acuerdo a nuevos lineamientos del </w:t>
            </w:r>
            <w:proofErr w:type="gramStart"/>
            <w:r>
              <w:rPr>
                <w:rFonts w:ascii="Arial Narrow" w:hAnsi="Arial Narrow" w:cs="Arial"/>
                <w:sz w:val="20"/>
              </w:rPr>
              <w:t>Jefe</w:t>
            </w:r>
            <w:proofErr w:type="gramEnd"/>
            <w:r>
              <w:rPr>
                <w:rFonts w:ascii="Arial Narrow" w:hAnsi="Arial Narrow" w:cs="Arial"/>
                <w:sz w:val="20"/>
              </w:rPr>
              <w:t xml:space="preserve"> de la Oficina de Control Interno, se eliminan cuadros en Excel.</w:t>
            </w:r>
          </w:p>
        </w:tc>
      </w:tr>
      <w:bookmarkEnd w:id="8"/>
    </w:tbl>
    <w:p w14:paraId="0E78AD74" w14:textId="77777777" w:rsidR="0067522D" w:rsidRPr="001345A5" w:rsidRDefault="0067522D" w:rsidP="00A97CC5">
      <w:pPr>
        <w:spacing w:after="0"/>
        <w:jc w:val="both"/>
        <w:rPr>
          <w:rFonts w:ascii="Arial" w:eastAsia="Arial" w:hAnsi="Arial"/>
          <w:sz w:val="20"/>
          <w:szCs w:val="22"/>
        </w:rPr>
      </w:pPr>
    </w:p>
    <w:sectPr w:rsidR="0067522D" w:rsidRPr="001345A5" w:rsidSect="00CD6648">
      <w:headerReference w:type="default" r:id="rId63"/>
      <w:footerReference w:type="default" r:id="rId64"/>
      <w:pgSz w:w="12240" w:h="15840" w:code="1"/>
      <w:pgMar w:top="1418" w:right="1701" w:bottom="1418" w:left="1701"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23382D" w14:textId="77777777" w:rsidR="00DC0EC8" w:rsidRDefault="00DC0EC8" w:rsidP="00935185">
      <w:pPr>
        <w:spacing w:after="0"/>
      </w:pPr>
      <w:r>
        <w:separator/>
      </w:r>
    </w:p>
  </w:endnote>
  <w:endnote w:type="continuationSeparator" w:id="0">
    <w:p w14:paraId="371AA61F" w14:textId="77777777" w:rsidR="00DC0EC8" w:rsidRDefault="00DC0EC8" w:rsidP="009351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108F3" w14:textId="77777777" w:rsidR="00083EE1" w:rsidRDefault="00083EE1">
    <w:pPr>
      <w:pStyle w:val="Piedepgina"/>
    </w:pPr>
  </w:p>
  <w:p w14:paraId="058128F9" w14:textId="77777777" w:rsidR="00083EE1" w:rsidRDefault="00083EE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FB8960" w14:textId="77777777" w:rsidR="00DC0EC8" w:rsidRDefault="00DC0EC8" w:rsidP="00935185">
      <w:pPr>
        <w:spacing w:after="0"/>
      </w:pPr>
      <w:r>
        <w:separator/>
      </w:r>
    </w:p>
  </w:footnote>
  <w:footnote w:type="continuationSeparator" w:id="0">
    <w:p w14:paraId="14085F17" w14:textId="77777777" w:rsidR="00DC0EC8" w:rsidRDefault="00DC0EC8" w:rsidP="00935185">
      <w:pPr>
        <w:spacing w:after="0"/>
      </w:pPr>
      <w:r>
        <w:continuationSeparator/>
      </w:r>
    </w:p>
  </w:footnote>
  <w:footnote w:id="1">
    <w:p w14:paraId="079815CF" w14:textId="77777777" w:rsidR="00083EE1" w:rsidRPr="008A14D8" w:rsidRDefault="00083EE1" w:rsidP="009B04EB">
      <w:pPr>
        <w:spacing w:after="0"/>
        <w:jc w:val="both"/>
        <w:rPr>
          <w:rFonts w:ascii="Arial" w:eastAsia="Arial" w:hAnsi="Arial"/>
          <w:i/>
          <w:color w:val="404040" w:themeColor="accent1"/>
          <w:sz w:val="16"/>
          <w:szCs w:val="16"/>
          <w:lang w:val="es-CO"/>
        </w:rPr>
      </w:pPr>
      <w:r>
        <w:rPr>
          <w:rStyle w:val="Refdenotaalpie"/>
        </w:rPr>
        <w:footnoteRef/>
      </w:r>
      <w:r>
        <w:t xml:space="preserve"> </w:t>
      </w:r>
      <w:r w:rsidRPr="008A14D8">
        <w:rPr>
          <w:rFonts w:ascii="Arial" w:eastAsia="Calibri" w:hAnsi="Arial" w:cs="Arial"/>
          <w:sz w:val="16"/>
          <w:szCs w:val="16"/>
          <w:lang w:val="es-CO" w:eastAsia="es-ES"/>
        </w:rPr>
        <w:t>COLOMBIA, PRESIDENCIA DE LA REPÚBLICA, Decreto 1599</w:t>
      </w:r>
      <w:r w:rsidRPr="008A14D8">
        <w:rPr>
          <w:rFonts w:ascii="Arial" w:eastAsia="Arial" w:hAnsi="Arial"/>
          <w:color w:val="404040" w:themeColor="accent1"/>
          <w:sz w:val="16"/>
          <w:szCs w:val="16"/>
          <w:lang w:val="es-CO"/>
        </w:rPr>
        <w:t xml:space="preserve">. (20, mayo, 2005). Por el cual se adopta el Modelo Estándar de Control Interno para el Estado Colombiano. Diario Oficial. Bogotá D.C., 2005 No.45.920.  </w:t>
      </w:r>
    </w:p>
    <w:p w14:paraId="7089649D" w14:textId="77777777" w:rsidR="00083EE1" w:rsidRPr="008A14D8" w:rsidRDefault="00083EE1" w:rsidP="009B04EB">
      <w:pPr>
        <w:pStyle w:val="Textonotapie"/>
        <w:rPr>
          <w:lang w:val="es-CO"/>
        </w:rPr>
      </w:pPr>
    </w:p>
  </w:footnote>
  <w:footnote w:id="2">
    <w:p w14:paraId="61E5C0A3" w14:textId="77777777" w:rsidR="00083EE1" w:rsidRPr="008A14D8" w:rsidRDefault="00083EE1" w:rsidP="009B04EB">
      <w:pPr>
        <w:spacing w:after="0"/>
        <w:jc w:val="both"/>
        <w:rPr>
          <w:rFonts w:ascii="Arial" w:eastAsia="Arial" w:hAnsi="Arial"/>
          <w:i/>
          <w:color w:val="404040" w:themeColor="accent1"/>
          <w:sz w:val="16"/>
          <w:szCs w:val="16"/>
          <w:lang w:val="es-CO"/>
        </w:rPr>
      </w:pPr>
      <w:r>
        <w:rPr>
          <w:rStyle w:val="Refdenotaalpie"/>
        </w:rPr>
        <w:footnoteRef/>
      </w:r>
      <w:r>
        <w:t xml:space="preserve"> </w:t>
      </w:r>
      <w:r>
        <w:rPr>
          <w:rFonts w:ascii="Arial" w:eastAsia="Calibri" w:hAnsi="Arial" w:cs="Arial"/>
          <w:sz w:val="16"/>
          <w:szCs w:val="16"/>
          <w:lang w:val="es-CO" w:eastAsia="es-ES"/>
        </w:rPr>
        <w:t>Ídem.</w:t>
      </w:r>
      <w:r w:rsidRPr="008A14D8">
        <w:rPr>
          <w:rFonts w:ascii="Arial" w:eastAsia="Calibri" w:hAnsi="Arial" w:cs="Arial"/>
          <w:sz w:val="16"/>
          <w:szCs w:val="16"/>
          <w:lang w:val="es-CO" w:eastAsia="es-ES"/>
        </w:rPr>
        <w:t xml:space="preserve"> Decreto </w:t>
      </w:r>
      <w:r>
        <w:rPr>
          <w:rFonts w:ascii="Arial" w:eastAsia="Calibri" w:hAnsi="Arial" w:cs="Arial"/>
          <w:sz w:val="16"/>
          <w:szCs w:val="16"/>
          <w:lang w:val="es-CO" w:eastAsia="es-ES"/>
        </w:rPr>
        <w:t>1499</w:t>
      </w:r>
      <w:r w:rsidRPr="008A14D8">
        <w:rPr>
          <w:rFonts w:ascii="Arial" w:eastAsia="Arial" w:hAnsi="Arial"/>
          <w:color w:val="404040" w:themeColor="accent1"/>
          <w:sz w:val="16"/>
          <w:szCs w:val="16"/>
          <w:lang w:val="es-CO"/>
        </w:rPr>
        <w:t>. (</w:t>
      </w:r>
      <w:r>
        <w:rPr>
          <w:rFonts w:ascii="Arial" w:eastAsia="Arial" w:hAnsi="Arial"/>
          <w:color w:val="404040" w:themeColor="accent1"/>
          <w:sz w:val="16"/>
          <w:szCs w:val="16"/>
          <w:lang w:val="es-CO"/>
        </w:rPr>
        <w:t>1</w:t>
      </w:r>
      <w:r w:rsidRPr="008A14D8">
        <w:rPr>
          <w:rFonts w:ascii="Arial" w:eastAsia="Arial" w:hAnsi="Arial"/>
          <w:color w:val="404040" w:themeColor="accent1"/>
          <w:sz w:val="16"/>
          <w:szCs w:val="16"/>
          <w:lang w:val="es-CO"/>
        </w:rPr>
        <w:t xml:space="preserve">1, </w:t>
      </w:r>
      <w:r>
        <w:rPr>
          <w:rFonts w:ascii="Arial" w:eastAsia="Arial" w:hAnsi="Arial"/>
          <w:color w:val="404040" w:themeColor="accent1"/>
          <w:sz w:val="16"/>
          <w:szCs w:val="16"/>
          <w:lang w:val="es-CO"/>
        </w:rPr>
        <w:t>septiembre</w:t>
      </w:r>
      <w:r w:rsidRPr="008A14D8">
        <w:rPr>
          <w:rFonts w:ascii="Arial" w:eastAsia="Arial" w:hAnsi="Arial"/>
          <w:color w:val="404040" w:themeColor="accent1"/>
          <w:sz w:val="16"/>
          <w:szCs w:val="16"/>
          <w:lang w:val="es-CO"/>
        </w:rPr>
        <w:t>, 201</w:t>
      </w:r>
      <w:r>
        <w:rPr>
          <w:rFonts w:ascii="Arial" w:eastAsia="Arial" w:hAnsi="Arial"/>
          <w:color w:val="404040" w:themeColor="accent1"/>
          <w:sz w:val="16"/>
          <w:szCs w:val="16"/>
          <w:lang w:val="es-CO"/>
        </w:rPr>
        <w:t>7</w:t>
      </w:r>
      <w:r w:rsidRPr="008A14D8">
        <w:rPr>
          <w:rFonts w:ascii="Arial" w:eastAsia="Arial" w:hAnsi="Arial"/>
          <w:color w:val="404040" w:themeColor="accent1"/>
          <w:sz w:val="16"/>
          <w:szCs w:val="16"/>
          <w:lang w:val="es-CO"/>
        </w:rPr>
        <w:t xml:space="preserve">). </w:t>
      </w:r>
      <w:r w:rsidRPr="00A31F49">
        <w:rPr>
          <w:rFonts w:ascii="Arial" w:eastAsia="Arial" w:hAnsi="Arial"/>
          <w:color w:val="404040" w:themeColor="accent1"/>
          <w:sz w:val="16"/>
          <w:szCs w:val="16"/>
          <w:lang w:val="es-CO"/>
        </w:rPr>
        <w:t>Por medio del cual se modifica el Decreto 1083 de 2015, Decreto Único Reglamentario del Sector Función Pública, en lo relacionado con el Sistema de Gestión establecido en el artículo 133 de la Ley 1753 de 2015</w:t>
      </w:r>
      <w:r w:rsidRPr="008A14D8">
        <w:rPr>
          <w:rFonts w:ascii="Arial" w:eastAsia="Arial" w:hAnsi="Arial"/>
          <w:color w:val="404040" w:themeColor="accent1"/>
          <w:sz w:val="16"/>
          <w:szCs w:val="16"/>
          <w:lang w:val="es-CO"/>
        </w:rPr>
        <w:t>. Diario Oficial. Bogotá D.C., 201</w:t>
      </w:r>
      <w:r>
        <w:rPr>
          <w:rFonts w:ascii="Arial" w:eastAsia="Arial" w:hAnsi="Arial"/>
          <w:color w:val="404040" w:themeColor="accent1"/>
          <w:sz w:val="16"/>
          <w:szCs w:val="16"/>
          <w:lang w:val="es-CO"/>
        </w:rPr>
        <w:t>7</w:t>
      </w:r>
      <w:r w:rsidRPr="008A14D8">
        <w:rPr>
          <w:rFonts w:ascii="Arial" w:eastAsia="Arial" w:hAnsi="Arial"/>
          <w:color w:val="404040" w:themeColor="accent1"/>
          <w:sz w:val="16"/>
          <w:szCs w:val="16"/>
          <w:lang w:val="es-CO"/>
        </w:rPr>
        <w:t xml:space="preserve"> No.</w:t>
      </w:r>
      <w:r>
        <w:rPr>
          <w:rFonts w:ascii="Arial" w:eastAsia="Arial" w:hAnsi="Arial"/>
          <w:color w:val="404040" w:themeColor="accent1"/>
          <w:sz w:val="16"/>
          <w:szCs w:val="16"/>
          <w:lang w:val="es-CO"/>
        </w:rPr>
        <w:t>50.353</w:t>
      </w:r>
      <w:r w:rsidRPr="008A14D8">
        <w:rPr>
          <w:rFonts w:ascii="Arial" w:eastAsia="Arial" w:hAnsi="Arial"/>
          <w:color w:val="404040" w:themeColor="accent1"/>
          <w:sz w:val="16"/>
          <w:szCs w:val="16"/>
          <w:lang w:val="es-CO"/>
        </w:rPr>
        <w:t xml:space="preserve">.  </w:t>
      </w:r>
      <w:r w:rsidRPr="00A31F49">
        <w:rPr>
          <w:rFonts w:ascii="Arial" w:eastAsia="Arial" w:hAnsi="Arial"/>
          <w:i/>
          <w:color w:val="404040" w:themeColor="accent1"/>
          <w:sz w:val="16"/>
          <w:szCs w:val="16"/>
          <w:lang w:val="es-CO"/>
        </w:rPr>
        <w:t>Artículo 2. Sustituir el Título 23 de la Parte 2 del Libro 2 del Decreto 1083 de 2015, el cual quedará así; ARTÍCULO 2.2.23.2. Actualización del Modelo Estándar de Control Interno. La actualización del Modelo Estándar de Control Interno para el Estado Colombiano - MECI, se efectuará a través del Manual Operativo del Modelo Integrado de Planeación y Gestión - MIPG, el cual será de obligatorio cumplimiento y aplicación para las entidades y organismos a que hace referencia el artículo 5° de la Ley 87 de 1993</w:t>
      </w:r>
      <w:r w:rsidRPr="008A14D8">
        <w:rPr>
          <w:rFonts w:ascii="Arial" w:eastAsia="Arial" w:hAnsi="Arial"/>
          <w:i/>
          <w:color w:val="404040" w:themeColor="accent1"/>
          <w:sz w:val="16"/>
          <w:szCs w:val="16"/>
          <w:lang w:val="es-CO"/>
        </w:rPr>
        <w:t>.</w:t>
      </w:r>
    </w:p>
    <w:p w14:paraId="461C12BE" w14:textId="77777777" w:rsidR="00083EE1" w:rsidRPr="008A14D8" w:rsidRDefault="00083EE1" w:rsidP="009B04EB">
      <w:pPr>
        <w:spacing w:after="0"/>
        <w:jc w:val="both"/>
        <w:rPr>
          <w:rFonts w:ascii="Arial" w:eastAsia="Arial" w:hAnsi="Arial"/>
          <w:i/>
          <w:color w:val="404040" w:themeColor="accent1"/>
          <w:sz w:val="16"/>
          <w:szCs w:val="16"/>
          <w:lang w:val="es-CO"/>
        </w:rPr>
      </w:pPr>
      <w:r w:rsidRPr="008A14D8">
        <w:rPr>
          <w:rFonts w:ascii="Arial" w:eastAsia="Arial" w:hAnsi="Arial"/>
          <w:i/>
          <w:color w:val="404040" w:themeColor="accent1"/>
          <w:sz w:val="16"/>
          <w:szCs w:val="16"/>
          <w:lang w:val="es-CO"/>
        </w:rPr>
        <w:t>Parágrafo. El Gobierno Nacional a través del Departamento Administrativo de la Función Pública (DAFP), podrá realizar actualizaciones y modificaciones al Manual Técnico, con el fin de adecuarlo a las necesidades de fortalecimiento y a los cambios de los referentes internacionales, previa aprobación del Consejo Asesor del Gobierno Nacional en materia de Control Interno.”</w:t>
      </w:r>
    </w:p>
    <w:p w14:paraId="3E07E195" w14:textId="77777777" w:rsidR="00083EE1" w:rsidRPr="005B0A50" w:rsidRDefault="00083EE1" w:rsidP="009B04EB">
      <w:pPr>
        <w:pStyle w:val="Textonotapie"/>
        <w:rPr>
          <w:lang w:val="es-CO"/>
        </w:rPr>
      </w:pPr>
    </w:p>
  </w:footnote>
  <w:footnote w:id="3">
    <w:p w14:paraId="4F65F3CF" w14:textId="77777777" w:rsidR="00083EE1" w:rsidRDefault="00083EE1" w:rsidP="009B04EB">
      <w:pPr>
        <w:spacing w:after="0"/>
        <w:jc w:val="both"/>
        <w:rPr>
          <w:rFonts w:ascii="Arial" w:eastAsia="Calibri" w:hAnsi="Arial" w:cs="Arial"/>
          <w:sz w:val="20"/>
          <w:szCs w:val="20"/>
          <w:lang w:val="es-CO" w:eastAsia="es-ES"/>
        </w:rPr>
      </w:pPr>
      <w:r>
        <w:rPr>
          <w:rStyle w:val="Refdenotaalpie"/>
        </w:rPr>
        <w:footnoteRef/>
      </w:r>
      <w:r>
        <w:t xml:space="preserve"> </w:t>
      </w:r>
      <w:r w:rsidRPr="00060B1C">
        <w:rPr>
          <w:rFonts w:ascii="Arial" w:eastAsia="Calibri" w:hAnsi="Arial" w:cs="Arial"/>
          <w:sz w:val="16"/>
          <w:szCs w:val="16"/>
          <w:lang w:val="es-CO" w:eastAsia="es-ES"/>
        </w:rPr>
        <w:t xml:space="preserve">COLOMBIA, DEPARATAMENTO ADMINISTRATIVO DE LA FUNCIÓN PÚBLICA.  Manual </w:t>
      </w:r>
      <w:r>
        <w:rPr>
          <w:rFonts w:ascii="Arial" w:eastAsia="Calibri" w:hAnsi="Arial" w:cs="Arial"/>
          <w:sz w:val="16"/>
          <w:szCs w:val="16"/>
          <w:lang w:val="es-CO" w:eastAsia="es-ES"/>
        </w:rPr>
        <w:t>Operativo.  Sistema de Gestión, Modelo Integrado de Planeación y Gestión</w:t>
      </w:r>
      <w:r w:rsidRPr="00060B1C">
        <w:rPr>
          <w:rFonts w:ascii="Arial" w:eastAsia="Calibri" w:hAnsi="Arial" w:cs="Arial"/>
          <w:sz w:val="16"/>
          <w:szCs w:val="16"/>
          <w:lang w:val="es-CO" w:eastAsia="es-ES"/>
        </w:rPr>
        <w:t>. Bogotá, D.C., 201</w:t>
      </w:r>
      <w:r>
        <w:rPr>
          <w:rFonts w:ascii="Arial" w:eastAsia="Calibri" w:hAnsi="Arial" w:cs="Arial"/>
          <w:sz w:val="16"/>
          <w:szCs w:val="16"/>
          <w:lang w:val="es-CO" w:eastAsia="es-ES"/>
        </w:rPr>
        <w:t>7</w:t>
      </w:r>
      <w:r w:rsidRPr="00060B1C">
        <w:rPr>
          <w:rFonts w:ascii="Arial" w:eastAsia="Calibri" w:hAnsi="Arial" w:cs="Arial"/>
          <w:sz w:val="16"/>
          <w:szCs w:val="16"/>
          <w:lang w:val="es-CO" w:eastAsia="es-ES"/>
        </w:rPr>
        <w:t>, p</w:t>
      </w:r>
      <w:r>
        <w:rPr>
          <w:rFonts w:ascii="Arial" w:eastAsia="Calibri" w:hAnsi="Arial" w:cs="Arial"/>
          <w:sz w:val="16"/>
          <w:szCs w:val="16"/>
          <w:lang w:val="es-CO" w:eastAsia="es-ES"/>
        </w:rPr>
        <w:t xml:space="preserve"> </w:t>
      </w:r>
      <w:r w:rsidRPr="00060B1C">
        <w:rPr>
          <w:rFonts w:ascii="Arial" w:eastAsia="Calibri" w:hAnsi="Arial" w:cs="Arial"/>
          <w:sz w:val="16"/>
          <w:szCs w:val="16"/>
          <w:lang w:val="es-CO" w:eastAsia="es-ES"/>
        </w:rPr>
        <w:t>-</w:t>
      </w:r>
      <w:r>
        <w:rPr>
          <w:rFonts w:ascii="Arial" w:eastAsia="Calibri" w:hAnsi="Arial" w:cs="Arial"/>
          <w:sz w:val="16"/>
          <w:szCs w:val="16"/>
          <w:lang w:val="es-CO" w:eastAsia="es-ES"/>
        </w:rPr>
        <w:t xml:space="preserve"> 42</w:t>
      </w:r>
    </w:p>
    <w:p w14:paraId="15472E82" w14:textId="77777777" w:rsidR="00083EE1" w:rsidRPr="00B04028" w:rsidRDefault="00083EE1" w:rsidP="009B04EB">
      <w:pPr>
        <w:pStyle w:val="Textonotapie"/>
      </w:pPr>
    </w:p>
  </w:footnote>
  <w:footnote w:id="4">
    <w:p w14:paraId="0616A031" w14:textId="77777777" w:rsidR="00083EE1" w:rsidRPr="009649CB" w:rsidRDefault="00083EE1" w:rsidP="00F0304C">
      <w:pPr>
        <w:spacing w:after="0"/>
        <w:jc w:val="both"/>
        <w:rPr>
          <w:rFonts w:ascii="Arial" w:eastAsia="Calibri" w:hAnsi="Arial" w:cs="Arial"/>
          <w:sz w:val="16"/>
          <w:szCs w:val="16"/>
          <w:lang w:val="es-CO" w:eastAsia="es-ES"/>
        </w:rPr>
      </w:pPr>
      <w:r w:rsidRPr="009649CB">
        <w:rPr>
          <w:rStyle w:val="Refdenotaalpie"/>
          <w:rFonts w:ascii="Arial" w:hAnsi="Arial" w:cs="Arial"/>
          <w:sz w:val="16"/>
          <w:szCs w:val="16"/>
        </w:rPr>
        <w:footnoteRef/>
      </w:r>
      <w:r w:rsidRPr="009649CB">
        <w:rPr>
          <w:rFonts w:ascii="Arial" w:hAnsi="Arial" w:cs="Arial"/>
          <w:sz w:val="16"/>
          <w:szCs w:val="16"/>
        </w:rPr>
        <w:t xml:space="preserve"> </w:t>
      </w:r>
      <w:r w:rsidRPr="009649CB">
        <w:rPr>
          <w:rFonts w:ascii="Arial" w:eastAsia="Calibri" w:hAnsi="Arial" w:cs="Arial"/>
          <w:sz w:val="16"/>
          <w:szCs w:val="16"/>
          <w:lang w:val="es-CO" w:eastAsia="es-ES"/>
        </w:rPr>
        <w:t>La escala de Likert es una de las escalas más utilizadas en investigación en ciencias sociales. Ofrecen un sistema de clasificación simple que es común a las encuestas de todo tipo. La escala se llama así por el psicólogo que lo creó, Rensis Likert. Un uso común de la escala de Likert es una encuesta que pregunta a los encuestados para ofrecer su opinión sobre algo, indicando el nivel al que están de acuerdo o en desacuerdo.</w:t>
      </w:r>
    </w:p>
    <w:p w14:paraId="2D0C3099" w14:textId="77777777" w:rsidR="00083EE1" w:rsidRPr="005871C4" w:rsidRDefault="00083EE1" w:rsidP="00F0304C">
      <w:pPr>
        <w:pStyle w:val="Textonotapie"/>
        <w:rPr>
          <w:lang w:val="es-CO"/>
        </w:rPr>
      </w:pPr>
    </w:p>
  </w:footnote>
  <w:footnote w:id="5">
    <w:p w14:paraId="2BD20035" w14:textId="04529B92" w:rsidR="00083EE1" w:rsidRPr="00575640" w:rsidRDefault="00083EE1">
      <w:pPr>
        <w:pStyle w:val="Textonotapie"/>
        <w:rPr>
          <w:lang w:val="es-CO"/>
        </w:rPr>
      </w:pPr>
      <w:r>
        <w:rPr>
          <w:rStyle w:val="Refdenotaalpie"/>
        </w:rPr>
        <w:footnoteRef/>
      </w:r>
      <w:r>
        <w:t xml:space="preserve"> </w:t>
      </w:r>
      <w:r w:rsidRPr="00575640">
        <w:rPr>
          <w:rFonts w:ascii="Arial" w:hAnsi="Arial" w:cs="Arial"/>
          <w:sz w:val="18"/>
          <w:szCs w:val="18"/>
          <w:lang w:val="es-CO"/>
        </w:rPr>
        <w:t>Manual Operativo Sistema de Gestión MIPG V.2</w:t>
      </w:r>
      <w:r>
        <w:rPr>
          <w:rFonts w:ascii="Arial" w:hAnsi="Arial" w:cs="Arial"/>
          <w:sz w:val="18"/>
          <w:szCs w:val="18"/>
          <w:lang w:val="es-CO"/>
        </w:rPr>
        <w:t xml:space="preserve"> Pagina 35</w:t>
      </w:r>
    </w:p>
  </w:footnote>
  <w:footnote w:id="6">
    <w:p w14:paraId="47B12B48" w14:textId="77777777" w:rsidR="00083EE1" w:rsidRPr="00E7440D" w:rsidRDefault="00083EE1" w:rsidP="006A2E84">
      <w:pPr>
        <w:spacing w:line="276" w:lineRule="auto"/>
        <w:rPr>
          <w:lang w:val="es-CO"/>
        </w:rPr>
      </w:pPr>
      <w:r w:rsidRPr="00A740F6">
        <w:rPr>
          <w:rStyle w:val="Refdenotaalpie"/>
          <w:rFonts w:ascii="Arial" w:hAnsi="Arial" w:cs="Arial"/>
          <w:sz w:val="16"/>
          <w:szCs w:val="16"/>
        </w:rPr>
        <w:footnoteRef/>
      </w:r>
      <w:r w:rsidRPr="00E7440D">
        <w:rPr>
          <w:lang w:val="es-CO"/>
        </w:rPr>
        <w:t xml:space="preserve"> </w:t>
      </w:r>
      <w:proofErr w:type="spellStart"/>
      <w:r w:rsidRPr="00E7440D">
        <w:rPr>
          <w:rFonts w:ascii="Arial" w:hAnsi="Arial" w:cs="Arial"/>
          <w:sz w:val="16"/>
          <w:szCs w:val="16"/>
          <w:lang w:val="es-CO"/>
        </w:rPr>
        <w:t>Op</w:t>
      </w:r>
      <w:proofErr w:type="spellEnd"/>
      <w:r w:rsidRPr="00E7440D">
        <w:rPr>
          <w:rFonts w:ascii="Arial" w:hAnsi="Arial" w:cs="Arial"/>
          <w:sz w:val="16"/>
          <w:szCs w:val="16"/>
          <w:lang w:val="es-CO"/>
        </w:rPr>
        <w:t xml:space="preserve"> cit</w:t>
      </w:r>
      <w:r>
        <w:rPr>
          <w:rFonts w:ascii="Arial" w:eastAsia="Calibri" w:hAnsi="Arial" w:cs="Arial"/>
          <w:sz w:val="16"/>
          <w:szCs w:val="16"/>
          <w:lang w:val="es-CO" w:eastAsia="es-ES"/>
        </w:rPr>
        <w:t>., p - 4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64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3"/>
      <w:gridCol w:w="2316"/>
      <w:gridCol w:w="1710"/>
      <w:gridCol w:w="2069"/>
      <w:gridCol w:w="1828"/>
    </w:tblGrid>
    <w:tr w:rsidR="00083EE1" w14:paraId="2448D87D" w14:textId="77777777" w:rsidTr="00CD6648">
      <w:trPr>
        <w:trHeight w:val="191"/>
      </w:trPr>
      <w:tc>
        <w:tcPr>
          <w:tcW w:w="2723" w:type="dxa"/>
          <w:vMerge w:val="restart"/>
        </w:tcPr>
        <w:p w14:paraId="62F70129" w14:textId="77777777" w:rsidR="00083EE1" w:rsidRDefault="00083EE1" w:rsidP="00CD6648">
          <w:pPr>
            <w:pStyle w:val="Encabezado"/>
            <w:jc w:val="center"/>
            <w:rPr>
              <w:noProof/>
              <w:lang w:eastAsia="es-ES"/>
            </w:rPr>
          </w:pPr>
          <w:bookmarkStart w:id="9" w:name="_Hlk485199369"/>
        </w:p>
        <w:p w14:paraId="38F46088" w14:textId="77777777" w:rsidR="00083EE1" w:rsidRPr="00AE416D" w:rsidRDefault="00083EE1" w:rsidP="00CD6648">
          <w:pPr>
            <w:pStyle w:val="Encabezado"/>
            <w:jc w:val="center"/>
          </w:pPr>
          <w:r w:rsidRPr="00C75422">
            <w:rPr>
              <w:noProof/>
              <w:lang w:eastAsia="es-ES"/>
            </w:rPr>
            <w:drawing>
              <wp:inline distT="0" distB="0" distL="0" distR="0" wp14:anchorId="165F5FAC" wp14:editId="63E60FD7">
                <wp:extent cx="1562100" cy="3810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381000"/>
                        </a:xfrm>
                        <a:prstGeom prst="rect">
                          <a:avLst/>
                        </a:prstGeom>
                        <a:noFill/>
                        <a:ln>
                          <a:noFill/>
                        </a:ln>
                      </pic:spPr>
                    </pic:pic>
                  </a:graphicData>
                </a:graphic>
              </wp:inline>
            </w:drawing>
          </w:r>
        </w:p>
      </w:tc>
      <w:tc>
        <w:tcPr>
          <w:tcW w:w="7923" w:type="dxa"/>
          <w:gridSpan w:val="4"/>
          <w:shd w:val="clear" w:color="auto" w:fill="C00000"/>
          <w:vAlign w:val="center"/>
        </w:tcPr>
        <w:p w14:paraId="122804B2" w14:textId="77777777" w:rsidR="00083EE1" w:rsidRPr="009221A0" w:rsidRDefault="00083EE1" w:rsidP="00CD6648">
          <w:pPr>
            <w:pStyle w:val="Encabezado"/>
            <w:jc w:val="center"/>
            <w:rPr>
              <w:rFonts w:ascii="Arial" w:hAnsi="Arial" w:cs="Arial"/>
              <w:sz w:val="26"/>
              <w:szCs w:val="26"/>
            </w:rPr>
          </w:pPr>
          <w:r>
            <w:rPr>
              <w:rFonts w:ascii="Arial" w:hAnsi="Arial" w:cs="Arial"/>
              <w:noProof/>
              <w:sz w:val="26"/>
              <w:szCs w:val="26"/>
              <w:lang w:eastAsia="es-CO"/>
            </w:rPr>
            <w:t>INFORME DE AUDITORIA INTERNA</w:t>
          </w:r>
        </w:p>
      </w:tc>
    </w:tr>
    <w:tr w:rsidR="00083EE1" w14:paraId="3A4BAC10" w14:textId="77777777" w:rsidTr="00CD6648">
      <w:trPr>
        <w:trHeight w:val="124"/>
      </w:trPr>
      <w:tc>
        <w:tcPr>
          <w:tcW w:w="2723" w:type="dxa"/>
          <w:vMerge/>
        </w:tcPr>
        <w:p w14:paraId="19A5F340" w14:textId="77777777" w:rsidR="00083EE1" w:rsidRDefault="00083EE1" w:rsidP="00CD6648">
          <w:pPr>
            <w:pStyle w:val="Encabezado"/>
            <w:jc w:val="center"/>
          </w:pPr>
        </w:p>
      </w:tc>
      <w:tc>
        <w:tcPr>
          <w:tcW w:w="7923" w:type="dxa"/>
          <w:gridSpan w:val="4"/>
          <w:vAlign w:val="center"/>
        </w:tcPr>
        <w:p w14:paraId="0E71AECD" w14:textId="77777777" w:rsidR="00083EE1" w:rsidRPr="003D21FF" w:rsidRDefault="00083EE1" w:rsidP="00CD6648">
          <w:pPr>
            <w:pStyle w:val="Encabezado"/>
            <w:rPr>
              <w:rFonts w:ascii="Arial" w:hAnsi="Arial" w:cs="Arial"/>
              <w:sz w:val="18"/>
              <w:szCs w:val="18"/>
            </w:rPr>
          </w:pPr>
          <w:r w:rsidRPr="003D21FF">
            <w:rPr>
              <w:rFonts w:ascii="Arial" w:hAnsi="Arial" w:cs="Arial"/>
              <w:sz w:val="18"/>
              <w:szCs w:val="18"/>
            </w:rPr>
            <w:t>PROCEDIMIENTO AUDITORÍAS INTERNAS AL CONTROL INTERNO.</w:t>
          </w:r>
        </w:p>
      </w:tc>
    </w:tr>
    <w:tr w:rsidR="00083EE1" w:rsidRPr="008801E4" w14:paraId="2CB488B9" w14:textId="77777777" w:rsidTr="00CD6648">
      <w:trPr>
        <w:trHeight w:val="223"/>
      </w:trPr>
      <w:tc>
        <w:tcPr>
          <w:tcW w:w="2723" w:type="dxa"/>
          <w:vMerge/>
        </w:tcPr>
        <w:p w14:paraId="0414C77F" w14:textId="77777777" w:rsidR="00083EE1" w:rsidRDefault="00083EE1" w:rsidP="00CD6648">
          <w:pPr>
            <w:pStyle w:val="Encabezado"/>
            <w:jc w:val="center"/>
            <w:rPr>
              <w:noProof/>
              <w:lang w:val="es-CO" w:eastAsia="es-CO"/>
            </w:rPr>
          </w:pPr>
        </w:p>
      </w:tc>
      <w:tc>
        <w:tcPr>
          <w:tcW w:w="7923" w:type="dxa"/>
          <w:gridSpan w:val="4"/>
          <w:vAlign w:val="center"/>
        </w:tcPr>
        <w:p w14:paraId="2C35F2E8" w14:textId="77777777" w:rsidR="00083EE1" w:rsidRPr="003D21FF" w:rsidRDefault="00083EE1" w:rsidP="00CD6648">
          <w:pPr>
            <w:pStyle w:val="Encabezado"/>
            <w:rPr>
              <w:rFonts w:ascii="Arial" w:hAnsi="Arial" w:cs="Arial"/>
              <w:sz w:val="18"/>
              <w:szCs w:val="18"/>
            </w:rPr>
          </w:pPr>
          <w:r w:rsidRPr="003D21FF">
            <w:rPr>
              <w:rFonts w:ascii="Arial" w:hAnsi="Arial" w:cs="Arial"/>
              <w:sz w:val="18"/>
              <w:szCs w:val="18"/>
            </w:rPr>
            <w:t>PROCESO EVALUACIÓN INDEPENDIENTE</w:t>
          </w:r>
        </w:p>
      </w:tc>
    </w:tr>
    <w:tr w:rsidR="00083EE1" w:rsidRPr="008801E4" w14:paraId="7CD16473" w14:textId="77777777" w:rsidTr="00CD6648">
      <w:trPr>
        <w:trHeight w:val="223"/>
      </w:trPr>
      <w:tc>
        <w:tcPr>
          <w:tcW w:w="2723" w:type="dxa"/>
          <w:vMerge/>
        </w:tcPr>
        <w:p w14:paraId="24EDDDE7" w14:textId="77777777" w:rsidR="00083EE1" w:rsidRDefault="00083EE1" w:rsidP="00CD6648">
          <w:pPr>
            <w:pStyle w:val="Encabezado"/>
            <w:jc w:val="center"/>
            <w:rPr>
              <w:noProof/>
              <w:lang w:val="es-CO" w:eastAsia="es-CO"/>
            </w:rPr>
          </w:pPr>
        </w:p>
      </w:tc>
      <w:tc>
        <w:tcPr>
          <w:tcW w:w="2316" w:type="dxa"/>
          <w:vAlign w:val="center"/>
        </w:tcPr>
        <w:p w14:paraId="54669F57" w14:textId="77777777" w:rsidR="00083EE1" w:rsidRPr="00D4381A" w:rsidRDefault="00083EE1" w:rsidP="00CD6648">
          <w:pPr>
            <w:pStyle w:val="Encabezado"/>
            <w:rPr>
              <w:rFonts w:ascii="Arial" w:hAnsi="Arial" w:cs="Arial"/>
              <w:sz w:val="18"/>
              <w:szCs w:val="18"/>
            </w:rPr>
          </w:pPr>
          <w:r w:rsidRPr="00D4381A">
            <w:rPr>
              <w:rFonts w:ascii="Arial" w:hAnsi="Arial" w:cs="Arial"/>
              <w:sz w:val="18"/>
              <w:szCs w:val="18"/>
            </w:rPr>
            <w:t xml:space="preserve">Código:  </w:t>
          </w:r>
          <w:bookmarkStart w:id="10" w:name="_Hlk485378356"/>
          <w:r w:rsidRPr="00D4381A">
            <w:rPr>
              <w:rFonts w:ascii="Arial" w:hAnsi="Arial" w:cs="Arial"/>
              <w:sz w:val="16"/>
              <w:szCs w:val="22"/>
            </w:rPr>
            <w:t>150.19.15-8</w:t>
          </w:r>
          <w:bookmarkEnd w:id="10"/>
        </w:p>
      </w:tc>
      <w:tc>
        <w:tcPr>
          <w:tcW w:w="1710" w:type="dxa"/>
          <w:vAlign w:val="center"/>
        </w:tcPr>
        <w:p w14:paraId="7FFB9DD3" w14:textId="77777777" w:rsidR="00083EE1" w:rsidRPr="00D4381A" w:rsidRDefault="00083EE1" w:rsidP="00CD6648">
          <w:pPr>
            <w:pStyle w:val="Encabezado"/>
            <w:rPr>
              <w:rFonts w:ascii="Arial" w:hAnsi="Arial" w:cs="Arial"/>
              <w:sz w:val="18"/>
              <w:szCs w:val="18"/>
            </w:rPr>
          </w:pPr>
          <w:r w:rsidRPr="00D4381A">
            <w:rPr>
              <w:rFonts w:ascii="Arial" w:hAnsi="Arial" w:cs="Arial"/>
              <w:sz w:val="18"/>
              <w:szCs w:val="18"/>
            </w:rPr>
            <w:t>Versión:  06</w:t>
          </w:r>
        </w:p>
      </w:tc>
      <w:tc>
        <w:tcPr>
          <w:tcW w:w="2069" w:type="dxa"/>
          <w:vAlign w:val="center"/>
        </w:tcPr>
        <w:p w14:paraId="72E2A3F5" w14:textId="77777777" w:rsidR="00083EE1" w:rsidRPr="00D4381A" w:rsidRDefault="00083EE1" w:rsidP="00CD6648">
          <w:pPr>
            <w:pStyle w:val="Encabezado"/>
            <w:rPr>
              <w:rFonts w:ascii="Arial" w:hAnsi="Arial" w:cs="Arial"/>
              <w:sz w:val="18"/>
              <w:szCs w:val="18"/>
            </w:rPr>
          </w:pPr>
          <w:r w:rsidRPr="00D4381A">
            <w:rPr>
              <w:rFonts w:ascii="Arial" w:hAnsi="Arial" w:cs="Arial"/>
              <w:sz w:val="18"/>
              <w:szCs w:val="18"/>
            </w:rPr>
            <w:t>Fecha:  11/04/2018</w:t>
          </w:r>
        </w:p>
      </w:tc>
      <w:tc>
        <w:tcPr>
          <w:tcW w:w="1828" w:type="dxa"/>
          <w:vAlign w:val="center"/>
        </w:tcPr>
        <w:p w14:paraId="7BB8D507" w14:textId="77777777" w:rsidR="00083EE1" w:rsidRPr="003D21FF" w:rsidRDefault="00083EE1" w:rsidP="00CD6648">
          <w:pPr>
            <w:pStyle w:val="Encabezado"/>
            <w:rPr>
              <w:rFonts w:ascii="Arial" w:hAnsi="Arial" w:cs="Arial"/>
              <w:sz w:val="18"/>
              <w:szCs w:val="18"/>
            </w:rPr>
          </w:pPr>
          <w:r w:rsidRPr="003D21FF">
            <w:rPr>
              <w:rFonts w:ascii="Arial" w:hAnsi="Arial" w:cs="Arial"/>
              <w:sz w:val="18"/>
              <w:szCs w:val="18"/>
            </w:rPr>
            <w:t xml:space="preserve">Página 1 de 1 </w:t>
          </w:r>
        </w:p>
      </w:tc>
    </w:tr>
    <w:bookmarkEnd w:id="9"/>
  </w:tbl>
  <w:p w14:paraId="08079A2C" w14:textId="77777777" w:rsidR="00083EE1" w:rsidRDefault="00083EE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16AB7"/>
    <w:multiLevelType w:val="hybridMultilevel"/>
    <w:tmpl w:val="7B92EDD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2DC565D"/>
    <w:multiLevelType w:val="hybridMultilevel"/>
    <w:tmpl w:val="09207748"/>
    <w:lvl w:ilvl="0" w:tplc="240A001B">
      <w:start w:val="1"/>
      <w:numFmt w:val="lowerRoman"/>
      <w:lvlText w:val="%1."/>
      <w:lvlJc w:val="right"/>
      <w:pPr>
        <w:ind w:left="1429" w:hanging="360"/>
      </w:p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2" w15:restartNumberingAfterBreak="0">
    <w:nsid w:val="041A10DB"/>
    <w:multiLevelType w:val="hybridMultilevel"/>
    <w:tmpl w:val="98D6B3AA"/>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70277BA"/>
    <w:multiLevelType w:val="hybridMultilevel"/>
    <w:tmpl w:val="64B04C6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9507127"/>
    <w:multiLevelType w:val="hybridMultilevel"/>
    <w:tmpl w:val="8EA00DD2"/>
    <w:lvl w:ilvl="0" w:tplc="F9248044">
      <w:start w:val="10"/>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100E2B50"/>
    <w:multiLevelType w:val="hybridMultilevel"/>
    <w:tmpl w:val="B59497FE"/>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6" w15:restartNumberingAfterBreak="0">
    <w:nsid w:val="150518F6"/>
    <w:multiLevelType w:val="hybridMultilevel"/>
    <w:tmpl w:val="1D08274C"/>
    <w:lvl w:ilvl="0" w:tplc="240A000F">
      <w:start w:val="1"/>
      <w:numFmt w:val="decimal"/>
      <w:lvlText w:val="%1."/>
      <w:lvlJc w:val="left"/>
      <w:pPr>
        <w:ind w:left="720" w:hanging="360"/>
      </w:pPr>
      <w:rPr>
        <w:rFonts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FBC1F27"/>
    <w:multiLevelType w:val="multilevel"/>
    <w:tmpl w:val="8EF49150"/>
    <w:lvl w:ilvl="0">
      <w:start w:val="1"/>
      <w:numFmt w:val="lowerRoman"/>
      <w:lvlText w:val="%1."/>
      <w:lvlJc w:val="right"/>
      <w:pPr>
        <w:ind w:left="720" w:hanging="360"/>
      </w:pPr>
      <w:rPr>
        <w:rFonts w:hint="default"/>
        <w:b w:val="0"/>
      </w:rPr>
    </w:lvl>
    <w:lvl w:ilvl="1">
      <w:start w:val="6"/>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8" w15:restartNumberingAfterBreak="0">
    <w:nsid w:val="1FF82FB9"/>
    <w:multiLevelType w:val="hybridMultilevel"/>
    <w:tmpl w:val="2910A842"/>
    <w:lvl w:ilvl="0" w:tplc="918E6D40">
      <w:start w:val="1"/>
      <w:numFmt w:val="bullet"/>
      <w:lvlText w:val=""/>
      <w:lvlJc w:val="left"/>
      <w:pPr>
        <w:ind w:left="720" w:hanging="360"/>
      </w:pPr>
      <w:rPr>
        <w:rFonts w:ascii="Wingdings" w:hAnsi="Wingdings"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0201BA2"/>
    <w:multiLevelType w:val="hybridMultilevel"/>
    <w:tmpl w:val="72C673A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9B705A4"/>
    <w:multiLevelType w:val="hybridMultilevel"/>
    <w:tmpl w:val="67C2EFA6"/>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C835794"/>
    <w:multiLevelType w:val="hybridMultilevel"/>
    <w:tmpl w:val="8F9AA5B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D1B2756"/>
    <w:multiLevelType w:val="hybridMultilevel"/>
    <w:tmpl w:val="90023846"/>
    <w:lvl w:ilvl="0" w:tplc="1068ADB4">
      <w:start w:val="8"/>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320114A3"/>
    <w:multiLevelType w:val="multilevel"/>
    <w:tmpl w:val="73982A32"/>
    <w:lvl w:ilvl="0">
      <w:start w:val="6"/>
      <w:numFmt w:val="decimal"/>
      <w:lvlText w:val="%1."/>
      <w:lvlJc w:val="left"/>
      <w:pPr>
        <w:ind w:left="360" w:hanging="360"/>
      </w:pPr>
      <w:rPr>
        <w:rFonts w:hint="default"/>
      </w:rPr>
    </w:lvl>
    <w:lvl w:ilvl="1">
      <w:start w:val="4"/>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32814294"/>
    <w:multiLevelType w:val="hybridMultilevel"/>
    <w:tmpl w:val="F09C2460"/>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4EC0680"/>
    <w:multiLevelType w:val="hybridMultilevel"/>
    <w:tmpl w:val="F54E6C98"/>
    <w:lvl w:ilvl="0" w:tplc="240A001B">
      <w:start w:val="1"/>
      <w:numFmt w:val="lowerRoman"/>
      <w:lvlText w:val="%1."/>
      <w:lvlJc w:val="right"/>
      <w:pPr>
        <w:ind w:left="1440" w:hanging="360"/>
      </w:pPr>
      <w:rPr>
        <w:rFont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6" w15:restartNumberingAfterBreak="0">
    <w:nsid w:val="36884AEB"/>
    <w:multiLevelType w:val="hybridMultilevel"/>
    <w:tmpl w:val="C890D332"/>
    <w:lvl w:ilvl="0" w:tplc="240A001B">
      <w:start w:val="1"/>
      <w:numFmt w:val="lowerRoman"/>
      <w:lvlText w:val="%1."/>
      <w:lvlJc w:val="righ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75F6F99"/>
    <w:multiLevelType w:val="hybridMultilevel"/>
    <w:tmpl w:val="230A9256"/>
    <w:lvl w:ilvl="0" w:tplc="FF38A7BC">
      <w:start w:val="7"/>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15:restartNumberingAfterBreak="0">
    <w:nsid w:val="3ACA15F3"/>
    <w:multiLevelType w:val="hybridMultilevel"/>
    <w:tmpl w:val="610C84DC"/>
    <w:lvl w:ilvl="0" w:tplc="240A001B">
      <w:start w:val="1"/>
      <w:numFmt w:val="lowerRoman"/>
      <w:lvlText w:val="%1."/>
      <w:lvlJc w:val="righ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2AF7974"/>
    <w:multiLevelType w:val="hybridMultilevel"/>
    <w:tmpl w:val="4314D84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45F417B"/>
    <w:multiLevelType w:val="hybridMultilevel"/>
    <w:tmpl w:val="B04CCB04"/>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7BC2ECE"/>
    <w:multiLevelType w:val="hybridMultilevel"/>
    <w:tmpl w:val="88A479FE"/>
    <w:lvl w:ilvl="0" w:tplc="240A001B">
      <w:start w:val="1"/>
      <w:numFmt w:val="lowerRoman"/>
      <w:lvlText w:val="%1."/>
      <w:lvlJc w:val="righ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A130A3D"/>
    <w:multiLevelType w:val="hybridMultilevel"/>
    <w:tmpl w:val="C7CC59D6"/>
    <w:lvl w:ilvl="0" w:tplc="5B58C6E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A4321B6"/>
    <w:multiLevelType w:val="hybridMultilevel"/>
    <w:tmpl w:val="78F4AB42"/>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F6F26E1"/>
    <w:multiLevelType w:val="multilevel"/>
    <w:tmpl w:val="443C432E"/>
    <w:lvl w:ilvl="0">
      <w:start w:val="1"/>
      <w:numFmt w:val="decimal"/>
      <w:lvlText w:val="%1."/>
      <w:lvlJc w:val="left"/>
      <w:pPr>
        <w:ind w:left="360" w:hanging="360"/>
      </w:pPr>
    </w:lvl>
    <w:lvl w:ilvl="1">
      <w:start w:val="2"/>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4FD67DB3"/>
    <w:multiLevelType w:val="hybridMultilevel"/>
    <w:tmpl w:val="33662E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40468A1"/>
    <w:multiLevelType w:val="hybridMultilevel"/>
    <w:tmpl w:val="7E2CBE0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7714DA0"/>
    <w:multiLevelType w:val="hybridMultilevel"/>
    <w:tmpl w:val="5442C4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C393EC9"/>
    <w:multiLevelType w:val="hybridMultilevel"/>
    <w:tmpl w:val="E2149462"/>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CD34F96"/>
    <w:multiLevelType w:val="hybridMultilevel"/>
    <w:tmpl w:val="D66A579A"/>
    <w:lvl w:ilvl="0" w:tplc="240A000D">
      <w:start w:val="1"/>
      <w:numFmt w:val="bullet"/>
      <w:lvlText w:val=""/>
      <w:lvlJc w:val="left"/>
      <w:pPr>
        <w:ind w:left="1494" w:hanging="360"/>
      </w:pPr>
      <w:rPr>
        <w:rFonts w:ascii="Wingdings" w:hAnsi="Wingdings" w:hint="default"/>
      </w:rPr>
    </w:lvl>
    <w:lvl w:ilvl="1" w:tplc="240A0003" w:tentative="1">
      <w:start w:val="1"/>
      <w:numFmt w:val="bullet"/>
      <w:lvlText w:val="o"/>
      <w:lvlJc w:val="left"/>
      <w:pPr>
        <w:ind w:left="2214" w:hanging="360"/>
      </w:pPr>
      <w:rPr>
        <w:rFonts w:ascii="Courier New" w:hAnsi="Courier New" w:cs="Courier New" w:hint="default"/>
      </w:rPr>
    </w:lvl>
    <w:lvl w:ilvl="2" w:tplc="240A0005" w:tentative="1">
      <w:start w:val="1"/>
      <w:numFmt w:val="bullet"/>
      <w:lvlText w:val=""/>
      <w:lvlJc w:val="left"/>
      <w:pPr>
        <w:ind w:left="2934" w:hanging="360"/>
      </w:pPr>
      <w:rPr>
        <w:rFonts w:ascii="Wingdings" w:hAnsi="Wingdings" w:hint="default"/>
      </w:rPr>
    </w:lvl>
    <w:lvl w:ilvl="3" w:tplc="240A0001" w:tentative="1">
      <w:start w:val="1"/>
      <w:numFmt w:val="bullet"/>
      <w:lvlText w:val=""/>
      <w:lvlJc w:val="left"/>
      <w:pPr>
        <w:ind w:left="3654" w:hanging="360"/>
      </w:pPr>
      <w:rPr>
        <w:rFonts w:ascii="Symbol" w:hAnsi="Symbol" w:hint="default"/>
      </w:rPr>
    </w:lvl>
    <w:lvl w:ilvl="4" w:tplc="240A0003" w:tentative="1">
      <w:start w:val="1"/>
      <w:numFmt w:val="bullet"/>
      <w:lvlText w:val="o"/>
      <w:lvlJc w:val="left"/>
      <w:pPr>
        <w:ind w:left="4374" w:hanging="360"/>
      </w:pPr>
      <w:rPr>
        <w:rFonts w:ascii="Courier New" w:hAnsi="Courier New" w:cs="Courier New" w:hint="default"/>
      </w:rPr>
    </w:lvl>
    <w:lvl w:ilvl="5" w:tplc="240A0005" w:tentative="1">
      <w:start w:val="1"/>
      <w:numFmt w:val="bullet"/>
      <w:lvlText w:val=""/>
      <w:lvlJc w:val="left"/>
      <w:pPr>
        <w:ind w:left="5094" w:hanging="360"/>
      </w:pPr>
      <w:rPr>
        <w:rFonts w:ascii="Wingdings" w:hAnsi="Wingdings" w:hint="default"/>
      </w:rPr>
    </w:lvl>
    <w:lvl w:ilvl="6" w:tplc="240A0001" w:tentative="1">
      <w:start w:val="1"/>
      <w:numFmt w:val="bullet"/>
      <w:lvlText w:val=""/>
      <w:lvlJc w:val="left"/>
      <w:pPr>
        <w:ind w:left="5814" w:hanging="360"/>
      </w:pPr>
      <w:rPr>
        <w:rFonts w:ascii="Symbol" w:hAnsi="Symbol" w:hint="default"/>
      </w:rPr>
    </w:lvl>
    <w:lvl w:ilvl="7" w:tplc="240A0003" w:tentative="1">
      <w:start w:val="1"/>
      <w:numFmt w:val="bullet"/>
      <w:lvlText w:val="o"/>
      <w:lvlJc w:val="left"/>
      <w:pPr>
        <w:ind w:left="6534" w:hanging="360"/>
      </w:pPr>
      <w:rPr>
        <w:rFonts w:ascii="Courier New" w:hAnsi="Courier New" w:cs="Courier New" w:hint="default"/>
      </w:rPr>
    </w:lvl>
    <w:lvl w:ilvl="8" w:tplc="240A0005" w:tentative="1">
      <w:start w:val="1"/>
      <w:numFmt w:val="bullet"/>
      <w:lvlText w:val=""/>
      <w:lvlJc w:val="left"/>
      <w:pPr>
        <w:ind w:left="7254" w:hanging="360"/>
      </w:pPr>
      <w:rPr>
        <w:rFonts w:ascii="Wingdings" w:hAnsi="Wingdings" w:hint="default"/>
      </w:rPr>
    </w:lvl>
  </w:abstractNum>
  <w:abstractNum w:abstractNumId="30" w15:restartNumberingAfterBreak="0">
    <w:nsid w:val="5DE018EA"/>
    <w:multiLevelType w:val="hybridMultilevel"/>
    <w:tmpl w:val="19E018EA"/>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1E60186"/>
    <w:multiLevelType w:val="hybridMultilevel"/>
    <w:tmpl w:val="F93CFA02"/>
    <w:lvl w:ilvl="0" w:tplc="AF500E0A">
      <w:start w:val="1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53A3152"/>
    <w:multiLevelType w:val="hybridMultilevel"/>
    <w:tmpl w:val="AC02691A"/>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59F5031"/>
    <w:multiLevelType w:val="hybridMultilevel"/>
    <w:tmpl w:val="5608FBA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9581150"/>
    <w:multiLevelType w:val="hybridMultilevel"/>
    <w:tmpl w:val="6BEA4844"/>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BBB372E"/>
    <w:multiLevelType w:val="hybridMultilevel"/>
    <w:tmpl w:val="9968B358"/>
    <w:lvl w:ilvl="0" w:tplc="E18C39AE">
      <w:start w:val="1"/>
      <w:numFmt w:val="lowerRoman"/>
      <w:lvlText w:val="%1."/>
      <w:lvlJc w:val="right"/>
      <w:pPr>
        <w:ind w:left="1080" w:hanging="360"/>
      </w:pPr>
      <w:rPr>
        <w:b w:val="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6" w15:restartNumberingAfterBreak="0">
    <w:nsid w:val="70096368"/>
    <w:multiLevelType w:val="hybridMultilevel"/>
    <w:tmpl w:val="B6A6B34A"/>
    <w:lvl w:ilvl="0" w:tplc="D03C4E32">
      <w:start w:val="1"/>
      <w:numFmt w:val="decimal"/>
      <w:lvlText w:val="%1."/>
      <w:lvlJc w:val="left"/>
      <w:pPr>
        <w:ind w:left="720" w:hanging="360"/>
      </w:pPr>
      <w:rPr>
        <w:rFonts w:eastAsia="Calibri" w:hint="default"/>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2073ECE"/>
    <w:multiLevelType w:val="hybridMultilevel"/>
    <w:tmpl w:val="DF5E931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37B1694"/>
    <w:multiLevelType w:val="multilevel"/>
    <w:tmpl w:val="AB9AAC90"/>
    <w:lvl w:ilvl="0">
      <w:start w:val="1"/>
      <w:numFmt w:val="decimal"/>
      <w:lvlText w:val="%1."/>
      <w:lvlJc w:val="left"/>
      <w:pPr>
        <w:ind w:left="720" w:hanging="360"/>
      </w:pPr>
      <w:rPr>
        <w:rFonts w:hint="default"/>
        <w:b w:val="0"/>
      </w:rPr>
    </w:lvl>
    <w:lvl w:ilvl="1">
      <w:start w:val="6"/>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9" w15:restartNumberingAfterBreak="0">
    <w:nsid w:val="739C7364"/>
    <w:multiLevelType w:val="hybridMultilevel"/>
    <w:tmpl w:val="84E84C4C"/>
    <w:lvl w:ilvl="0" w:tplc="97A2BF28">
      <w:start w:val="1"/>
      <w:numFmt w:val="decimal"/>
      <w:lvlText w:val="%1."/>
      <w:lvlJc w:val="left"/>
      <w:pPr>
        <w:ind w:left="1830" w:hanging="360"/>
      </w:pPr>
      <w:rPr>
        <w:sz w:val="20"/>
        <w:szCs w:val="20"/>
      </w:rPr>
    </w:lvl>
    <w:lvl w:ilvl="1" w:tplc="240A0019" w:tentative="1">
      <w:start w:val="1"/>
      <w:numFmt w:val="lowerLetter"/>
      <w:lvlText w:val="%2."/>
      <w:lvlJc w:val="left"/>
      <w:pPr>
        <w:ind w:left="2550" w:hanging="360"/>
      </w:pPr>
    </w:lvl>
    <w:lvl w:ilvl="2" w:tplc="240A001B" w:tentative="1">
      <w:start w:val="1"/>
      <w:numFmt w:val="lowerRoman"/>
      <w:lvlText w:val="%3."/>
      <w:lvlJc w:val="right"/>
      <w:pPr>
        <w:ind w:left="3270" w:hanging="180"/>
      </w:pPr>
    </w:lvl>
    <w:lvl w:ilvl="3" w:tplc="240A000F" w:tentative="1">
      <w:start w:val="1"/>
      <w:numFmt w:val="decimal"/>
      <w:lvlText w:val="%4."/>
      <w:lvlJc w:val="left"/>
      <w:pPr>
        <w:ind w:left="3990" w:hanging="360"/>
      </w:pPr>
    </w:lvl>
    <w:lvl w:ilvl="4" w:tplc="240A0019" w:tentative="1">
      <w:start w:val="1"/>
      <w:numFmt w:val="lowerLetter"/>
      <w:lvlText w:val="%5."/>
      <w:lvlJc w:val="left"/>
      <w:pPr>
        <w:ind w:left="4710" w:hanging="360"/>
      </w:pPr>
    </w:lvl>
    <w:lvl w:ilvl="5" w:tplc="240A001B" w:tentative="1">
      <w:start w:val="1"/>
      <w:numFmt w:val="lowerRoman"/>
      <w:lvlText w:val="%6."/>
      <w:lvlJc w:val="right"/>
      <w:pPr>
        <w:ind w:left="5430" w:hanging="180"/>
      </w:pPr>
    </w:lvl>
    <w:lvl w:ilvl="6" w:tplc="240A000F" w:tentative="1">
      <w:start w:val="1"/>
      <w:numFmt w:val="decimal"/>
      <w:lvlText w:val="%7."/>
      <w:lvlJc w:val="left"/>
      <w:pPr>
        <w:ind w:left="6150" w:hanging="360"/>
      </w:pPr>
    </w:lvl>
    <w:lvl w:ilvl="7" w:tplc="240A0019" w:tentative="1">
      <w:start w:val="1"/>
      <w:numFmt w:val="lowerLetter"/>
      <w:lvlText w:val="%8."/>
      <w:lvlJc w:val="left"/>
      <w:pPr>
        <w:ind w:left="6870" w:hanging="360"/>
      </w:pPr>
    </w:lvl>
    <w:lvl w:ilvl="8" w:tplc="240A001B" w:tentative="1">
      <w:start w:val="1"/>
      <w:numFmt w:val="lowerRoman"/>
      <w:lvlText w:val="%9."/>
      <w:lvlJc w:val="right"/>
      <w:pPr>
        <w:ind w:left="7590" w:hanging="180"/>
      </w:pPr>
    </w:lvl>
  </w:abstractNum>
  <w:abstractNum w:abstractNumId="40" w15:restartNumberingAfterBreak="0">
    <w:nsid w:val="74FD53FB"/>
    <w:multiLevelType w:val="multilevel"/>
    <w:tmpl w:val="AB9AAC90"/>
    <w:lvl w:ilvl="0">
      <w:start w:val="1"/>
      <w:numFmt w:val="decimal"/>
      <w:lvlText w:val="%1."/>
      <w:lvlJc w:val="left"/>
      <w:pPr>
        <w:ind w:left="720" w:hanging="360"/>
      </w:pPr>
      <w:rPr>
        <w:rFonts w:hint="default"/>
        <w:b w:val="0"/>
      </w:rPr>
    </w:lvl>
    <w:lvl w:ilvl="1">
      <w:start w:val="6"/>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1" w15:restartNumberingAfterBreak="0">
    <w:nsid w:val="797663C5"/>
    <w:multiLevelType w:val="hybridMultilevel"/>
    <w:tmpl w:val="AF5CDB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DEF0A87"/>
    <w:multiLevelType w:val="hybridMultilevel"/>
    <w:tmpl w:val="11C656EE"/>
    <w:lvl w:ilvl="0" w:tplc="1D3E34A4">
      <w:start w:val="9"/>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24"/>
  </w:num>
  <w:num w:numId="2">
    <w:abstractNumId w:val="17"/>
  </w:num>
  <w:num w:numId="3">
    <w:abstractNumId w:val="12"/>
  </w:num>
  <w:num w:numId="4">
    <w:abstractNumId w:val="42"/>
  </w:num>
  <w:num w:numId="5">
    <w:abstractNumId w:val="4"/>
  </w:num>
  <w:num w:numId="6">
    <w:abstractNumId w:val="13"/>
  </w:num>
  <w:num w:numId="7">
    <w:abstractNumId w:val="19"/>
  </w:num>
  <w:num w:numId="8">
    <w:abstractNumId w:val="40"/>
  </w:num>
  <w:num w:numId="9">
    <w:abstractNumId w:val="37"/>
  </w:num>
  <w:num w:numId="10">
    <w:abstractNumId w:val="29"/>
  </w:num>
  <w:num w:numId="11">
    <w:abstractNumId w:val="8"/>
  </w:num>
  <w:num w:numId="12">
    <w:abstractNumId w:val="15"/>
  </w:num>
  <w:num w:numId="13">
    <w:abstractNumId w:val="25"/>
  </w:num>
  <w:num w:numId="14">
    <w:abstractNumId w:val="39"/>
  </w:num>
  <w:num w:numId="15">
    <w:abstractNumId w:val="33"/>
  </w:num>
  <w:num w:numId="16">
    <w:abstractNumId w:val="9"/>
  </w:num>
  <w:num w:numId="17">
    <w:abstractNumId w:val="3"/>
  </w:num>
  <w:num w:numId="18">
    <w:abstractNumId w:val="20"/>
  </w:num>
  <w:num w:numId="19">
    <w:abstractNumId w:val="0"/>
  </w:num>
  <w:num w:numId="20">
    <w:abstractNumId w:val="6"/>
  </w:num>
  <w:num w:numId="21">
    <w:abstractNumId w:val="11"/>
  </w:num>
  <w:num w:numId="22">
    <w:abstractNumId w:val="30"/>
  </w:num>
  <w:num w:numId="23">
    <w:abstractNumId w:val="5"/>
  </w:num>
  <w:num w:numId="24">
    <w:abstractNumId w:val="34"/>
  </w:num>
  <w:num w:numId="25">
    <w:abstractNumId w:val="23"/>
  </w:num>
  <w:num w:numId="26">
    <w:abstractNumId w:val="2"/>
  </w:num>
  <w:num w:numId="27">
    <w:abstractNumId w:val="41"/>
  </w:num>
  <w:num w:numId="28">
    <w:abstractNumId w:val="1"/>
  </w:num>
  <w:num w:numId="29">
    <w:abstractNumId w:val="16"/>
  </w:num>
  <w:num w:numId="30">
    <w:abstractNumId w:val="21"/>
  </w:num>
  <w:num w:numId="31">
    <w:abstractNumId w:val="18"/>
  </w:num>
  <w:num w:numId="32">
    <w:abstractNumId w:val="10"/>
  </w:num>
  <w:num w:numId="33">
    <w:abstractNumId w:val="28"/>
  </w:num>
  <w:num w:numId="34">
    <w:abstractNumId w:val="26"/>
  </w:num>
  <w:num w:numId="35">
    <w:abstractNumId w:val="14"/>
  </w:num>
  <w:num w:numId="36">
    <w:abstractNumId w:val="22"/>
  </w:num>
  <w:num w:numId="37">
    <w:abstractNumId w:val="36"/>
  </w:num>
  <w:num w:numId="38">
    <w:abstractNumId w:val="35"/>
  </w:num>
  <w:num w:numId="39">
    <w:abstractNumId w:val="32"/>
  </w:num>
  <w:num w:numId="40">
    <w:abstractNumId w:val="31"/>
  </w:num>
  <w:num w:numId="41">
    <w:abstractNumId w:val="38"/>
  </w:num>
  <w:num w:numId="42">
    <w:abstractNumId w:val="7"/>
  </w:num>
  <w:num w:numId="43">
    <w:abstractNumId w:val="2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0DF"/>
    <w:rsid w:val="0000067E"/>
    <w:rsid w:val="00001F7B"/>
    <w:rsid w:val="0000331C"/>
    <w:rsid w:val="000049FE"/>
    <w:rsid w:val="00006518"/>
    <w:rsid w:val="00006798"/>
    <w:rsid w:val="00007238"/>
    <w:rsid w:val="000121DD"/>
    <w:rsid w:val="00017825"/>
    <w:rsid w:val="00017DCB"/>
    <w:rsid w:val="00021DD5"/>
    <w:rsid w:val="00023B7C"/>
    <w:rsid w:val="000252BF"/>
    <w:rsid w:val="0002661F"/>
    <w:rsid w:val="00026C2F"/>
    <w:rsid w:val="00030293"/>
    <w:rsid w:val="000329AA"/>
    <w:rsid w:val="00033722"/>
    <w:rsid w:val="00033FD2"/>
    <w:rsid w:val="000435D1"/>
    <w:rsid w:val="0004434D"/>
    <w:rsid w:val="00046CC1"/>
    <w:rsid w:val="00050ECF"/>
    <w:rsid w:val="000528E6"/>
    <w:rsid w:val="0005536C"/>
    <w:rsid w:val="00057C00"/>
    <w:rsid w:val="00060046"/>
    <w:rsid w:val="00060B1C"/>
    <w:rsid w:val="0006209A"/>
    <w:rsid w:val="00064274"/>
    <w:rsid w:val="000739FB"/>
    <w:rsid w:val="00077286"/>
    <w:rsid w:val="00083EE1"/>
    <w:rsid w:val="00086B7A"/>
    <w:rsid w:val="00086DC5"/>
    <w:rsid w:val="00087906"/>
    <w:rsid w:val="00093099"/>
    <w:rsid w:val="00095F69"/>
    <w:rsid w:val="000969A9"/>
    <w:rsid w:val="000A1BDB"/>
    <w:rsid w:val="000A1DFE"/>
    <w:rsid w:val="000A20DE"/>
    <w:rsid w:val="000A559C"/>
    <w:rsid w:val="000A59E1"/>
    <w:rsid w:val="000B005F"/>
    <w:rsid w:val="000B1DE6"/>
    <w:rsid w:val="000B5D59"/>
    <w:rsid w:val="000B750E"/>
    <w:rsid w:val="000C13FA"/>
    <w:rsid w:val="000C43D6"/>
    <w:rsid w:val="000C607F"/>
    <w:rsid w:val="000C7623"/>
    <w:rsid w:val="000D069C"/>
    <w:rsid w:val="000D1205"/>
    <w:rsid w:val="000D3FA1"/>
    <w:rsid w:val="000E0C6C"/>
    <w:rsid w:val="000E3281"/>
    <w:rsid w:val="000E4A9F"/>
    <w:rsid w:val="000E65C9"/>
    <w:rsid w:val="000F052E"/>
    <w:rsid w:val="000F083E"/>
    <w:rsid w:val="000F1967"/>
    <w:rsid w:val="000F3A94"/>
    <w:rsid w:val="000F4653"/>
    <w:rsid w:val="000F5EAC"/>
    <w:rsid w:val="000F6461"/>
    <w:rsid w:val="000F6D8D"/>
    <w:rsid w:val="000F7B22"/>
    <w:rsid w:val="001006FE"/>
    <w:rsid w:val="001017DE"/>
    <w:rsid w:val="00102BCA"/>
    <w:rsid w:val="00103E4A"/>
    <w:rsid w:val="00103F03"/>
    <w:rsid w:val="001109B8"/>
    <w:rsid w:val="00116B68"/>
    <w:rsid w:val="00122647"/>
    <w:rsid w:val="00127090"/>
    <w:rsid w:val="0012763D"/>
    <w:rsid w:val="00127FE1"/>
    <w:rsid w:val="00131577"/>
    <w:rsid w:val="00131F3A"/>
    <w:rsid w:val="00132416"/>
    <w:rsid w:val="001345A5"/>
    <w:rsid w:val="001360B8"/>
    <w:rsid w:val="00137A92"/>
    <w:rsid w:val="0014035F"/>
    <w:rsid w:val="00144305"/>
    <w:rsid w:val="00144D62"/>
    <w:rsid w:val="00150B6E"/>
    <w:rsid w:val="00152442"/>
    <w:rsid w:val="00153241"/>
    <w:rsid w:val="0015450E"/>
    <w:rsid w:val="00163FC2"/>
    <w:rsid w:val="001645FF"/>
    <w:rsid w:val="00165444"/>
    <w:rsid w:val="001678EE"/>
    <w:rsid w:val="0016796A"/>
    <w:rsid w:val="00170CA8"/>
    <w:rsid w:val="0017459E"/>
    <w:rsid w:val="001812D0"/>
    <w:rsid w:val="001813B9"/>
    <w:rsid w:val="00184B87"/>
    <w:rsid w:val="00185722"/>
    <w:rsid w:val="00190977"/>
    <w:rsid w:val="00193328"/>
    <w:rsid w:val="00193CE1"/>
    <w:rsid w:val="0019754A"/>
    <w:rsid w:val="00197D2F"/>
    <w:rsid w:val="001A006D"/>
    <w:rsid w:val="001A10C9"/>
    <w:rsid w:val="001A1837"/>
    <w:rsid w:val="001A22F6"/>
    <w:rsid w:val="001A4E66"/>
    <w:rsid w:val="001A5165"/>
    <w:rsid w:val="001B113B"/>
    <w:rsid w:val="001B18B4"/>
    <w:rsid w:val="001B1BF9"/>
    <w:rsid w:val="001B3D5B"/>
    <w:rsid w:val="001B49F6"/>
    <w:rsid w:val="001B5D76"/>
    <w:rsid w:val="001B6408"/>
    <w:rsid w:val="001C1E0D"/>
    <w:rsid w:val="001C6EC9"/>
    <w:rsid w:val="001D1E69"/>
    <w:rsid w:val="001D3AA7"/>
    <w:rsid w:val="001D6D30"/>
    <w:rsid w:val="001D714D"/>
    <w:rsid w:val="001D79BC"/>
    <w:rsid w:val="001E0876"/>
    <w:rsid w:val="001E1C20"/>
    <w:rsid w:val="001E20D1"/>
    <w:rsid w:val="001E2414"/>
    <w:rsid w:val="001E3B2E"/>
    <w:rsid w:val="001E6FCE"/>
    <w:rsid w:val="001F0CC7"/>
    <w:rsid w:val="001F1E77"/>
    <w:rsid w:val="001F6317"/>
    <w:rsid w:val="002006AB"/>
    <w:rsid w:val="00200860"/>
    <w:rsid w:val="002030BC"/>
    <w:rsid w:val="00204338"/>
    <w:rsid w:val="00205D72"/>
    <w:rsid w:val="002112D1"/>
    <w:rsid w:val="00211783"/>
    <w:rsid w:val="00212D52"/>
    <w:rsid w:val="002157C2"/>
    <w:rsid w:val="00220311"/>
    <w:rsid w:val="00220CFC"/>
    <w:rsid w:val="00226FE3"/>
    <w:rsid w:val="002378FF"/>
    <w:rsid w:val="00237FAC"/>
    <w:rsid w:val="00256C27"/>
    <w:rsid w:val="002603D0"/>
    <w:rsid w:val="00261EEF"/>
    <w:rsid w:val="00263957"/>
    <w:rsid w:val="0026602F"/>
    <w:rsid w:val="00270483"/>
    <w:rsid w:val="00271D97"/>
    <w:rsid w:val="00272D8B"/>
    <w:rsid w:val="00277680"/>
    <w:rsid w:val="0028013F"/>
    <w:rsid w:val="00282A74"/>
    <w:rsid w:val="00290B92"/>
    <w:rsid w:val="00290C36"/>
    <w:rsid w:val="00293074"/>
    <w:rsid w:val="00294916"/>
    <w:rsid w:val="00295CE6"/>
    <w:rsid w:val="002A062F"/>
    <w:rsid w:val="002A3ED5"/>
    <w:rsid w:val="002A4B06"/>
    <w:rsid w:val="002A68C6"/>
    <w:rsid w:val="002A7C76"/>
    <w:rsid w:val="002B19E4"/>
    <w:rsid w:val="002B2ECB"/>
    <w:rsid w:val="002B3305"/>
    <w:rsid w:val="002B398E"/>
    <w:rsid w:val="002B5F07"/>
    <w:rsid w:val="002B6FAD"/>
    <w:rsid w:val="002B7023"/>
    <w:rsid w:val="002C1803"/>
    <w:rsid w:val="002C2B1C"/>
    <w:rsid w:val="002C4F66"/>
    <w:rsid w:val="002C68C6"/>
    <w:rsid w:val="002D0490"/>
    <w:rsid w:val="002D35D7"/>
    <w:rsid w:val="002D4F16"/>
    <w:rsid w:val="002D502D"/>
    <w:rsid w:val="002D505E"/>
    <w:rsid w:val="002D6178"/>
    <w:rsid w:val="002D7331"/>
    <w:rsid w:val="002E27EA"/>
    <w:rsid w:val="002E2929"/>
    <w:rsid w:val="002F0B60"/>
    <w:rsid w:val="002F54E7"/>
    <w:rsid w:val="002F6BE3"/>
    <w:rsid w:val="002F7DE4"/>
    <w:rsid w:val="003014F9"/>
    <w:rsid w:val="003033E2"/>
    <w:rsid w:val="0030645F"/>
    <w:rsid w:val="00306B81"/>
    <w:rsid w:val="00316EF2"/>
    <w:rsid w:val="0031718E"/>
    <w:rsid w:val="003213A0"/>
    <w:rsid w:val="003225BD"/>
    <w:rsid w:val="00322989"/>
    <w:rsid w:val="00323406"/>
    <w:rsid w:val="003236A0"/>
    <w:rsid w:val="0032443C"/>
    <w:rsid w:val="00325484"/>
    <w:rsid w:val="00327EB4"/>
    <w:rsid w:val="003309B3"/>
    <w:rsid w:val="00332CD5"/>
    <w:rsid w:val="00332F82"/>
    <w:rsid w:val="00334AAB"/>
    <w:rsid w:val="00335251"/>
    <w:rsid w:val="00335520"/>
    <w:rsid w:val="00335B3D"/>
    <w:rsid w:val="0033712C"/>
    <w:rsid w:val="00342F5A"/>
    <w:rsid w:val="003448DE"/>
    <w:rsid w:val="00344DBD"/>
    <w:rsid w:val="00344F5E"/>
    <w:rsid w:val="00351769"/>
    <w:rsid w:val="0035265A"/>
    <w:rsid w:val="0035404B"/>
    <w:rsid w:val="00356A30"/>
    <w:rsid w:val="003577C5"/>
    <w:rsid w:val="00357B1D"/>
    <w:rsid w:val="00361622"/>
    <w:rsid w:val="0036219A"/>
    <w:rsid w:val="0036267D"/>
    <w:rsid w:val="00366648"/>
    <w:rsid w:val="00373470"/>
    <w:rsid w:val="00375E1C"/>
    <w:rsid w:val="00376DB9"/>
    <w:rsid w:val="0038030C"/>
    <w:rsid w:val="00381F67"/>
    <w:rsid w:val="00387E0E"/>
    <w:rsid w:val="0039042D"/>
    <w:rsid w:val="00394CC2"/>
    <w:rsid w:val="00395001"/>
    <w:rsid w:val="003955D8"/>
    <w:rsid w:val="003A48A8"/>
    <w:rsid w:val="003B52F5"/>
    <w:rsid w:val="003C3400"/>
    <w:rsid w:val="003C6B8A"/>
    <w:rsid w:val="003C7231"/>
    <w:rsid w:val="003D2B1E"/>
    <w:rsid w:val="003E02F6"/>
    <w:rsid w:val="003E2049"/>
    <w:rsid w:val="003F0361"/>
    <w:rsid w:val="003F1412"/>
    <w:rsid w:val="003F2575"/>
    <w:rsid w:val="003F36FA"/>
    <w:rsid w:val="00400176"/>
    <w:rsid w:val="0040138F"/>
    <w:rsid w:val="00401A39"/>
    <w:rsid w:val="004056EA"/>
    <w:rsid w:val="00405C15"/>
    <w:rsid w:val="004071D5"/>
    <w:rsid w:val="00407860"/>
    <w:rsid w:val="00410D9A"/>
    <w:rsid w:val="00411C3C"/>
    <w:rsid w:val="00413318"/>
    <w:rsid w:val="004140E0"/>
    <w:rsid w:val="00417793"/>
    <w:rsid w:val="004213C6"/>
    <w:rsid w:val="004215EE"/>
    <w:rsid w:val="00424E67"/>
    <w:rsid w:val="00426585"/>
    <w:rsid w:val="00426833"/>
    <w:rsid w:val="00430FE6"/>
    <w:rsid w:val="004350CB"/>
    <w:rsid w:val="004360BD"/>
    <w:rsid w:val="004368CC"/>
    <w:rsid w:val="004370B4"/>
    <w:rsid w:val="0043798A"/>
    <w:rsid w:val="00440213"/>
    <w:rsid w:val="00440F6E"/>
    <w:rsid w:val="00441535"/>
    <w:rsid w:val="0044533F"/>
    <w:rsid w:val="0045095C"/>
    <w:rsid w:val="00457C59"/>
    <w:rsid w:val="00460566"/>
    <w:rsid w:val="00462122"/>
    <w:rsid w:val="00462695"/>
    <w:rsid w:val="00473ED6"/>
    <w:rsid w:val="00475DA0"/>
    <w:rsid w:val="0047790F"/>
    <w:rsid w:val="00477CD9"/>
    <w:rsid w:val="00477F3C"/>
    <w:rsid w:val="00483AE4"/>
    <w:rsid w:val="004855A1"/>
    <w:rsid w:val="004910D1"/>
    <w:rsid w:val="0049148E"/>
    <w:rsid w:val="00491F69"/>
    <w:rsid w:val="0049249A"/>
    <w:rsid w:val="004A20AA"/>
    <w:rsid w:val="004A21C7"/>
    <w:rsid w:val="004A2D9C"/>
    <w:rsid w:val="004A633E"/>
    <w:rsid w:val="004B09C5"/>
    <w:rsid w:val="004B2277"/>
    <w:rsid w:val="004B3207"/>
    <w:rsid w:val="004B4C15"/>
    <w:rsid w:val="004B5645"/>
    <w:rsid w:val="004C083B"/>
    <w:rsid w:val="004C11AA"/>
    <w:rsid w:val="004C2204"/>
    <w:rsid w:val="004C22F7"/>
    <w:rsid w:val="004C52FC"/>
    <w:rsid w:val="004D028B"/>
    <w:rsid w:val="004D3CEB"/>
    <w:rsid w:val="004D5562"/>
    <w:rsid w:val="004D7EE3"/>
    <w:rsid w:val="004E0434"/>
    <w:rsid w:val="004E5562"/>
    <w:rsid w:val="004F398A"/>
    <w:rsid w:val="004F5324"/>
    <w:rsid w:val="004F7B84"/>
    <w:rsid w:val="004F7EC8"/>
    <w:rsid w:val="00502127"/>
    <w:rsid w:val="0050221B"/>
    <w:rsid w:val="005044DF"/>
    <w:rsid w:val="005168E1"/>
    <w:rsid w:val="00516A65"/>
    <w:rsid w:val="005171B4"/>
    <w:rsid w:val="00517BBF"/>
    <w:rsid w:val="005210D2"/>
    <w:rsid w:val="00521FD4"/>
    <w:rsid w:val="005240C4"/>
    <w:rsid w:val="0052621E"/>
    <w:rsid w:val="005268F0"/>
    <w:rsid w:val="0052790A"/>
    <w:rsid w:val="00530D48"/>
    <w:rsid w:val="00531944"/>
    <w:rsid w:val="00532B71"/>
    <w:rsid w:val="005379C2"/>
    <w:rsid w:val="00537FDE"/>
    <w:rsid w:val="00541D96"/>
    <w:rsid w:val="00542FDD"/>
    <w:rsid w:val="0054658F"/>
    <w:rsid w:val="00551017"/>
    <w:rsid w:val="005524A4"/>
    <w:rsid w:val="00553A63"/>
    <w:rsid w:val="005550E5"/>
    <w:rsid w:val="00556858"/>
    <w:rsid w:val="00560CDE"/>
    <w:rsid w:val="00561324"/>
    <w:rsid w:val="00561DF9"/>
    <w:rsid w:val="00562D14"/>
    <w:rsid w:val="00563DCC"/>
    <w:rsid w:val="00567AE7"/>
    <w:rsid w:val="005711D5"/>
    <w:rsid w:val="0057265C"/>
    <w:rsid w:val="00573CFF"/>
    <w:rsid w:val="00575640"/>
    <w:rsid w:val="00575BE5"/>
    <w:rsid w:val="00577EA9"/>
    <w:rsid w:val="005864FA"/>
    <w:rsid w:val="00586E39"/>
    <w:rsid w:val="00587721"/>
    <w:rsid w:val="00587AAA"/>
    <w:rsid w:val="00590B7D"/>
    <w:rsid w:val="00592003"/>
    <w:rsid w:val="00592E27"/>
    <w:rsid w:val="005977D2"/>
    <w:rsid w:val="005A4727"/>
    <w:rsid w:val="005A4D72"/>
    <w:rsid w:val="005A6E03"/>
    <w:rsid w:val="005A6E90"/>
    <w:rsid w:val="005A7D24"/>
    <w:rsid w:val="005B0A50"/>
    <w:rsid w:val="005B1710"/>
    <w:rsid w:val="005B2B3B"/>
    <w:rsid w:val="005B3B6E"/>
    <w:rsid w:val="005B446E"/>
    <w:rsid w:val="005C5613"/>
    <w:rsid w:val="005D277D"/>
    <w:rsid w:val="005D4B41"/>
    <w:rsid w:val="005D509F"/>
    <w:rsid w:val="005E2164"/>
    <w:rsid w:val="005E2E89"/>
    <w:rsid w:val="005E562D"/>
    <w:rsid w:val="005E6301"/>
    <w:rsid w:val="005F0BBA"/>
    <w:rsid w:val="005F1325"/>
    <w:rsid w:val="005F5AFA"/>
    <w:rsid w:val="00601850"/>
    <w:rsid w:val="00603402"/>
    <w:rsid w:val="00605E87"/>
    <w:rsid w:val="00607F0A"/>
    <w:rsid w:val="00611D95"/>
    <w:rsid w:val="00612569"/>
    <w:rsid w:val="0061382D"/>
    <w:rsid w:val="00614200"/>
    <w:rsid w:val="00614E8C"/>
    <w:rsid w:val="006169B2"/>
    <w:rsid w:val="00620D90"/>
    <w:rsid w:val="006271D4"/>
    <w:rsid w:val="0063206F"/>
    <w:rsid w:val="00632854"/>
    <w:rsid w:val="00633AD8"/>
    <w:rsid w:val="00636A20"/>
    <w:rsid w:val="00637822"/>
    <w:rsid w:val="00642A47"/>
    <w:rsid w:val="00644303"/>
    <w:rsid w:val="00644833"/>
    <w:rsid w:val="00647512"/>
    <w:rsid w:val="006501DA"/>
    <w:rsid w:val="00654DE4"/>
    <w:rsid w:val="00657B99"/>
    <w:rsid w:val="00663C18"/>
    <w:rsid w:val="00663C3E"/>
    <w:rsid w:val="00663FC4"/>
    <w:rsid w:val="00665ED1"/>
    <w:rsid w:val="0067156C"/>
    <w:rsid w:val="00671E59"/>
    <w:rsid w:val="00673668"/>
    <w:rsid w:val="0067462F"/>
    <w:rsid w:val="00674AF6"/>
    <w:rsid w:val="0067522D"/>
    <w:rsid w:val="0067633C"/>
    <w:rsid w:val="0068474D"/>
    <w:rsid w:val="006848E2"/>
    <w:rsid w:val="00685213"/>
    <w:rsid w:val="00685F51"/>
    <w:rsid w:val="006869FD"/>
    <w:rsid w:val="0068793B"/>
    <w:rsid w:val="006906A7"/>
    <w:rsid w:val="00691689"/>
    <w:rsid w:val="006921AA"/>
    <w:rsid w:val="00692220"/>
    <w:rsid w:val="00693EBF"/>
    <w:rsid w:val="00694CB9"/>
    <w:rsid w:val="006975E6"/>
    <w:rsid w:val="006A2397"/>
    <w:rsid w:val="006A282B"/>
    <w:rsid w:val="006A2D38"/>
    <w:rsid w:val="006A2E84"/>
    <w:rsid w:val="006A4D8B"/>
    <w:rsid w:val="006A61E9"/>
    <w:rsid w:val="006A73AE"/>
    <w:rsid w:val="006A7621"/>
    <w:rsid w:val="006B0457"/>
    <w:rsid w:val="006B094D"/>
    <w:rsid w:val="006B18D8"/>
    <w:rsid w:val="006B2013"/>
    <w:rsid w:val="006B3C12"/>
    <w:rsid w:val="006B6E2C"/>
    <w:rsid w:val="006B735A"/>
    <w:rsid w:val="006C0133"/>
    <w:rsid w:val="006C2210"/>
    <w:rsid w:val="006C3C5D"/>
    <w:rsid w:val="006D00EA"/>
    <w:rsid w:val="006D0D3A"/>
    <w:rsid w:val="006D18A1"/>
    <w:rsid w:val="006D6130"/>
    <w:rsid w:val="006D7BBE"/>
    <w:rsid w:val="006E1293"/>
    <w:rsid w:val="006E3618"/>
    <w:rsid w:val="006E453D"/>
    <w:rsid w:val="007003D9"/>
    <w:rsid w:val="007017BD"/>
    <w:rsid w:val="007112BC"/>
    <w:rsid w:val="00715FBD"/>
    <w:rsid w:val="007215CE"/>
    <w:rsid w:val="00722821"/>
    <w:rsid w:val="007238D2"/>
    <w:rsid w:val="007266BA"/>
    <w:rsid w:val="007317A6"/>
    <w:rsid w:val="0073238E"/>
    <w:rsid w:val="007334FA"/>
    <w:rsid w:val="00733EAE"/>
    <w:rsid w:val="007353CF"/>
    <w:rsid w:val="00737151"/>
    <w:rsid w:val="00740A2F"/>
    <w:rsid w:val="007413CF"/>
    <w:rsid w:val="00743D35"/>
    <w:rsid w:val="00744212"/>
    <w:rsid w:val="007475C0"/>
    <w:rsid w:val="00747800"/>
    <w:rsid w:val="0075239E"/>
    <w:rsid w:val="007538DC"/>
    <w:rsid w:val="00755862"/>
    <w:rsid w:val="00757B60"/>
    <w:rsid w:val="007623CE"/>
    <w:rsid w:val="00763767"/>
    <w:rsid w:val="00763BDA"/>
    <w:rsid w:val="007645DA"/>
    <w:rsid w:val="00771751"/>
    <w:rsid w:val="00773BA6"/>
    <w:rsid w:val="007754ED"/>
    <w:rsid w:val="007829D4"/>
    <w:rsid w:val="00783BC3"/>
    <w:rsid w:val="00787142"/>
    <w:rsid w:val="007908DC"/>
    <w:rsid w:val="00793A24"/>
    <w:rsid w:val="00793ACE"/>
    <w:rsid w:val="00794C54"/>
    <w:rsid w:val="00797BC2"/>
    <w:rsid w:val="00797E00"/>
    <w:rsid w:val="00797E97"/>
    <w:rsid w:val="007A2E4B"/>
    <w:rsid w:val="007A569A"/>
    <w:rsid w:val="007A5871"/>
    <w:rsid w:val="007A7258"/>
    <w:rsid w:val="007B07EA"/>
    <w:rsid w:val="007B31B3"/>
    <w:rsid w:val="007B53DB"/>
    <w:rsid w:val="007B5465"/>
    <w:rsid w:val="007B56E6"/>
    <w:rsid w:val="007B731D"/>
    <w:rsid w:val="007B7B78"/>
    <w:rsid w:val="007C1E2D"/>
    <w:rsid w:val="007C2EDD"/>
    <w:rsid w:val="007D0CCB"/>
    <w:rsid w:val="007D32B8"/>
    <w:rsid w:val="007D64A9"/>
    <w:rsid w:val="007E260C"/>
    <w:rsid w:val="007E2C89"/>
    <w:rsid w:val="007E5812"/>
    <w:rsid w:val="007E6670"/>
    <w:rsid w:val="007F250F"/>
    <w:rsid w:val="007F49E4"/>
    <w:rsid w:val="007F56A5"/>
    <w:rsid w:val="007F5A97"/>
    <w:rsid w:val="00800AF6"/>
    <w:rsid w:val="00800CF8"/>
    <w:rsid w:val="00801463"/>
    <w:rsid w:val="008015C7"/>
    <w:rsid w:val="00805D76"/>
    <w:rsid w:val="0081226F"/>
    <w:rsid w:val="0081249A"/>
    <w:rsid w:val="00815026"/>
    <w:rsid w:val="00816C85"/>
    <w:rsid w:val="00823051"/>
    <w:rsid w:val="008231EA"/>
    <w:rsid w:val="00825040"/>
    <w:rsid w:val="008260C9"/>
    <w:rsid w:val="0083195B"/>
    <w:rsid w:val="008342EB"/>
    <w:rsid w:val="008371B4"/>
    <w:rsid w:val="008422EA"/>
    <w:rsid w:val="00852DBC"/>
    <w:rsid w:val="008574F3"/>
    <w:rsid w:val="00860CF4"/>
    <w:rsid w:val="00863031"/>
    <w:rsid w:val="008647DB"/>
    <w:rsid w:val="00864893"/>
    <w:rsid w:val="00865963"/>
    <w:rsid w:val="00866EEF"/>
    <w:rsid w:val="00871837"/>
    <w:rsid w:val="00872017"/>
    <w:rsid w:val="00874818"/>
    <w:rsid w:val="00874F9D"/>
    <w:rsid w:val="00877FF5"/>
    <w:rsid w:val="00883858"/>
    <w:rsid w:val="00885224"/>
    <w:rsid w:val="00885638"/>
    <w:rsid w:val="00891E3C"/>
    <w:rsid w:val="008A1246"/>
    <w:rsid w:val="008A14D8"/>
    <w:rsid w:val="008A17BE"/>
    <w:rsid w:val="008A2C0D"/>
    <w:rsid w:val="008B0EE2"/>
    <w:rsid w:val="008B1440"/>
    <w:rsid w:val="008B4C0B"/>
    <w:rsid w:val="008B6830"/>
    <w:rsid w:val="008C07D7"/>
    <w:rsid w:val="008C09FD"/>
    <w:rsid w:val="008C2249"/>
    <w:rsid w:val="008C2856"/>
    <w:rsid w:val="008C6693"/>
    <w:rsid w:val="008C6AAB"/>
    <w:rsid w:val="008C6DDF"/>
    <w:rsid w:val="008C7DD2"/>
    <w:rsid w:val="008D1223"/>
    <w:rsid w:val="008D234B"/>
    <w:rsid w:val="008D2A1A"/>
    <w:rsid w:val="008D403F"/>
    <w:rsid w:val="008D5053"/>
    <w:rsid w:val="008D51B2"/>
    <w:rsid w:val="008D5A03"/>
    <w:rsid w:val="008D77FB"/>
    <w:rsid w:val="008E0CB2"/>
    <w:rsid w:val="008E2D93"/>
    <w:rsid w:val="008E55DB"/>
    <w:rsid w:val="008E7109"/>
    <w:rsid w:val="008F26E9"/>
    <w:rsid w:val="008F2ADF"/>
    <w:rsid w:val="008F3C64"/>
    <w:rsid w:val="008F5276"/>
    <w:rsid w:val="008F5E35"/>
    <w:rsid w:val="008F682B"/>
    <w:rsid w:val="009018AE"/>
    <w:rsid w:val="00903EC8"/>
    <w:rsid w:val="009068E9"/>
    <w:rsid w:val="00911680"/>
    <w:rsid w:val="009125F0"/>
    <w:rsid w:val="00914E36"/>
    <w:rsid w:val="009156AF"/>
    <w:rsid w:val="009174A9"/>
    <w:rsid w:val="00922E52"/>
    <w:rsid w:val="00924BFB"/>
    <w:rsid w:val="00932EBB"/>
    <w:rsid w:val="00935185"/>
    <w:rsid w:val="0093659F"/>
    <w:rsid w:val="00942568"/>
    <w:rsid w:val="00944337"/>
    <w:rsid w:val="009457C6"/>
    <w:rsid w:val="00950402"/>
    <w:rsid w:val="00952B51"/>
    <w:rsid w:val="0095361B"/>
    <w:rsid w:val="00954A9C"/>
    <w:rsid w:val="00955BB4"/>
    <w:rsid w:val="00956447"/>
    <w:rsid w:val="00956897"/>
    <w:rsid w:val="009576C3"/>
    <w:rsid w:val="00960132"/>
    <w:rsid w:val="009671F3"/>
    <w:rsid w:val="00977772"/>
    <w:rsid w:val="009816E3"/>
    <w:rsid w:val="009818C6"/>
    <w:rsid w:val="009837FD"/>
    <w:rsid w:val="009863A9"/>
    <w:rsid w:val="0098677D"/>
    <w:rsid w:val="00994E8A"/>
    <w:rsid w:val="009A0CCB"/>
    <w:rsid w:val="009A236D"/>
    <w:rsid w:val="009A4A80"/>
    <w:rsid w:val="009A4B3A"/>
    <w:rsid w:val="009A78F5"/>
    <w:rsid w:val="009A7E46"/>
    <w:rsid w:val="009B04EB"/>
    <w:rsid w:val="009B10A8"/>
    <w:rsid w:val="009B6452"/>
    <w:rsid w:val="009B6D5B"/>
    <w:rsid w:val="009C0AE8"/>
    <w:rsid w:val="009C2DAA"/>
    <w:rsid w:val="009C3335"/>
    <w:rsid w:val="009C3EB2"/>
    <w:rsid w:val="009C7994"/>
    <w:rsid w:val="009D3594"/>
    <w:rsid w:val="009D4374"/>
    <w:rsid w:val="009D4D8A"/>
    <w:rsid w:val="009D6AFA"/>
    <w:rsid w:val="009E0304"/>
    <w:rsid w:val="009E1AD3"/>
    <w:rsid w:val="009F1BC8"/>
    <w:rsid w:val="009F5B99"/>
    <w:rsid w:val="009F626A"/>
    <w:rsid w:val="009F679E"/>
    <w:rsid w:val="00A006BE"/>
    <w:rsid w:val="00A016A1"/>
    <w:rsid w:val="00A01A40"/>
    <w:rsid w:val="00A0221D"/>
    <w:rsid w:val="00A02EDD"/>
    <w:rsid w:val="00A03565"/>
    <w:rsid w:val="00A0517A"/>
    <w:rsid w:val="00A05B51"/>
    <w:rsid w:val="00A10353"/>
    <w:rsid w:val="00A15CA8"/>
    <w:rsid w:val="00A21EAD"/>
    <w:rsid w:val="00A2291A"/>
    <w:rsid w:val="00A238A9"/>
    <w:rsid w:val="00A2613C"/>
    <w:rsid w:val="00A266B0"/>
    <w:rsid w:val="00A27079"/>
    <w:rsid w:val="00A307ED"/>
    <w:rsid w:val="00A31F49"/>
    <w:rsid w:val="00A336CF"/>
    <w:rsid w:val="00A35688"/>
    <w:rsid w:val="00A3729D"/>
    <w:rsid w:val="00A40DEA"/>
    <w:rsid w:val="00A41A73"/>
    <w:rsid w:val="00A43743"/>
    <w:rsid w:val="00A44276"/>
    <w:rsid w:val="00A44C7D"/>
    <w:rsid w:val="00A4519C"/>
    <w:rsid w:val="00A4764F"/>
    <w:rsid w:val="00A52B0B"/>
    <w:rsid w:val="00A52BE0"/>
    <w:rsid w:val="00A530DE"/>
    <w:rsid w:val="00A63E34"/>
    <w:rsid w:val="00A65DCC"/>
    <w:rsid w:val="00A673A5"/>
    <w:rsid w:val="00A67924"/>
    <w:rsid w:val="00A70623"/>
    <w:rsid w:val="00A706FB"/>
    <w:rsid w:val="00A70D42"/>
    <w:rsid w:val="00A751CC"/>
    <w:rsid w:val="00A77A6F"/>
    <w:rsid w:val="00A834C8"/>
    <w:rsid w:val="00A83546"/>
    <w:rsid w:val="00A849B5"/>
    <w:rsid w:val="00A8582D"/>
    <w:rsid w:val="00A8709F"/>
    <w:rsid w:val="00A872AF"/>
    <w:rsid w:val="00A9214C"/>
    <w:rsid w:val="00A95275"/>
    <w:rsid w:val="00A953E5"/>
    <w:rsid w:val="00A95A1D"/>
    <w:rsid w:val="00A96F48"/>
    <w:rsid w:val="00A97CC5"/>
    <w:rsid w:val="00AA255A"/>
    <w:rsid w:val="00AA2899"/>
    <w:rsid w:val="00AA3438"/>
    <w:rsid w:val="00AA3D87"/>
    <w:rsid w:val="00AA6F7E"/>
    <w:rsid w:val="00AA7CA8"/>
    <w:rsid w:val="00AB03C4"/>
    <w:rsid w:val="00AB182D"/>
    <w:rsid w:val="00AB2B03"/>
    <w:rsid w:val="00AB3C30"/>
    <w:rsid w:val="00AB48A0"/>
    <w:rsid w:val="00AB5C95"/>
    <w:rsid w:val="00AB6170"/>
    <w:rsid w:val="00AB7EC3"/>
    <w:rsid w:val="00AC02E7"/>
    <w:rsid w:val="00AC17D6"/>
    <w:rsid w:val="00AC1B73"/>
    <w:rsid w:val="00AC269B"/>
    <w:rsid w:val="00AC34E2"/>
    <w:rsid w:val="00AC3CE8"/>
    <w:rsid w:val="00AC4617"/>
    <w:rsid w:val="00AD0D89"/>
    <w:rsid w:val="00AD7E58"/>
    <w:rsid w:val="00AE031C"/>
    <w:rsid w:val="00AE398B"/>
    <w:rsid w:val="00AF0F5A"/>
    <w:rsid w:val="00AF1EA8"/>
    <w:rsid w:val="00AF3498"/>
    <w:rsid w:val="00AF49E4"/>
    <w:rsid w:val="00AF4E8A"/>
    <w:rsid w:val="00AF50DF"/>
    <w:rsid w:val="00AF73A9"/>
    <w:rsid w:val="00B04028"/>
    <w:rsid w:val="00B0432A"/>
    <w:rsid w:val="00B045C2"/>
    <w:rsid w:val="00B13AF3"/>
    <w:rsid w:val="00B17613"/>
    <w:rsid w:val="00B176EE"/>
    <w:rsid w:val="00B2000E"/>
    <w:rsid w:val="00B20F14"/>
    <w:rsid w:val="00B23787"/>
    <w:rsid w:val="00B25A03"/>
    <w:rsid w:val="00B26003"/>
    <w:rsid w:val="00B26A11"/>
    <w:rsid w:val="00B27867"/>
    <w:rsid w:val="00B30038"/>
    <w:rsid w:val="00B36197"/>
    <w:rsid w:val="00B4258B"/>
    <w:rsid w:val="00B42908"/>
    <w:rsid w:val="00B44135"/>
    <w:rsid w:val="00B46E19"/>
    <w:rsid w:val="00B47052"/>
    <w:rsid w:val="00B54DB2"/>
    <w:rsid w:val="00B55878"/>
    <w:rsid w:val="00B61EFB"/>
    <w:rsid w:val="00B67925"/>
    <w:rsid w:val="00B71311"/>
    <w:rsid w:val="00B71FFF"/>
    <w:rsid w:val="00B72BF8"/>
    <w:rsid w:val="00B73747"/>
    <w:rsid w:val="00B75FD1"/>
    <w:rsid w:val="00B76C06"/>
    <w:rsid w:val="00B77F6F"/>
    <w:rsid w:val="00B820CF"/>
    <w:rsid w:val="00B827DC"/>
    <w:rsid w:val="00B856FD"/>
    <w:rsid w:val="00B857FC"/>
    <w:rsid w:val="00B87046"/>
    <w:rsid w:val="00B947EF"/>
    <w:rsid w:val="00B967B5"/>
    <w:rsid w:val="00B97A32"/>
    <w:rsid w:val="00BA4DCC"/>
    <w:rsid w:val="00BA700E"/>
    <w:rsid w:val="00BA73D7"/>
    <w:rsid w:val="00BB467E"/>
    <w:rsid w:val="00BB5764"/>
    <w:rsid w:val="00BB7EFE"/>
    <w:rsid w:val="00BC1240"/>
    <w:rsid w:val="00BC1C9F"/>
    <w:rsid w:val="00BC493E"/>
    <w:rsid w:val="00BC5404"/>
    <w:rsid w:val="00BC5D43"/>
    <w:rsid w:val="00BC5E23"/>
    <w:rsid w:val="00BC73EC"/>
    <w:rsid w:val="00BD0BCF"/>
    <w:rsid w:val="00BD2190"/>
    <w:rsid w:val="00BD267A"/>
    <w:rsid w:val="00BD5123"/>
    <w:rsid w:val="00BD55E1"/>
    <w:rsid w:val="00BE1CEF"/>
    <w:rsid w:val="00BE38C8"/>
    <w:rsid w:val="00BE4877"/>
    <w:rsid w:val="00BE6E5E"/>
    <w:rsid w:val="00BF0E94"/>
    <w:rsid w:val="00BF3106"/>
    <w:rsid w:val="00BF519D"/>
    <w:rsid w:val="00BF796B"/>
    <w:rsid w:val="00BF7B41"/>
    <w:rsid w:val="00C12526"/>
    <w:rsid w:val="00C14F3E"/>
    <w:rsid w:val="00C20BB8"/>
    <w:rsid w:val="00C22340"/>
    <w:rsid w:val="00C236D5"/>
    <w:rsid w:val="00C30114"/>
    <w:rsid w:val="00C31DE3"/>
    <w:rsid w:val="00C34B72"/>
    <w:rsid w:val="00C434B5"/>
    <w:rsid w:val="00C44783"/>
    <w:rsid w:val="00C634C9"/>
    <w:rsid w:val="00C656A9"/>
    <w:rsid w:val="00C669D2"/>
    <w:rsid w:val="00C66D12"/>
    <w:rsid w:val="00C67CBD"/>
    <w:rsid w:val="00C80D50"/>
    <w:rsid w:val="00C821FB"/>
    <w:rsid w:val="00C847E2"/>
    <w:rsid w:val="00C85DEF"/>
    <w:rsid w:val="00C86C2B"/>
    <w:rsid w:val="00C876DB"/>
    <w:rsid w:val="00C91073"/>
    <w:rsid w:val="00C91D9A"/>
    <w:rsid w:val="00C9364E"/>
    <w:rsid w:val="00C940EF"/>
    <w:rsid w:val="00C94F2B"/>
    <w:rsid w:val="00C9633B"/>
    <w:rsid w:val="00C9649F"/>
    <w:rsid w:val="00C96C02"/>
    <w:rsid w:val="00CA022D"/>
    <w:rsid w:val="00CA3080"/>
    <w:rsid w:val="00CA5709"/>
    <w:rsid w:val="00CA5936"/>
    <w:rsid w:val="00CA601D"/>
    <w:rsid w:val="00CA64AB"/>
    <w:rsid w:val="00CA71AF"/>
    <w:rsid w:val="00CB07BB"/>
    <w:rsid w:val="00CB130F"/>
    <w:rsid w:val="00CB1EA9"/>
    <w:rsid w:val="00CB2C5A"/>
    <w:rsid w:val="00CB32A4"/>
    <w:rsid w:val="00CB6F97"/>
    <w:rsid w:val="00CB7B63"/>
    <w:rsid w:val="00CC0D75"/>
    <w:rsid w:val="00CC17B3"/>
    <w:rsid w:val="00CC1891"/>
    <w:rsid w:val="00CC26C5"/>
    <w:rsid w:val="00CC2A2E"/>
    <w:rsid w:val="00CC3A5F"/>
    <w:rsid w:val="00CC3F1D"/>
    <w:rsid w:val="00CC4BB3"/>
    <w:rsid w:val="00CC4D20"/>
    <w:rsid w:val="00CD5EA7"/>
    <w:rsid w:val="00CD6648"/>
    <w:rsid w:val="00CD6A65"/>
    <w:rsid w:val="00CD72E8"/>
    <w:rsid w:val="00CE235F"/>
    <w:rsid w:val="00CE4F12"/>
    <w:rsid w:val="00CE67F8"/>
    <w:rsid w:val="00CE6EFA"/>
    <w:rsid w:val="00CF2C9F"/>
    <w:rsid w:val="00D02E0A"/>
    <w:rsid w:val="00D03C01"/>
    <w:rsid w:val="00D14812"/>
    <w:rsid w:val="00D151D6"/>
    <w:rsid w:val="00D17597"/>
    <w:rsid w:val="00D17C50"/>
    <w:rsid w:val="00D17F32"/>
    <w:rsid w:val="00D34A7E"/>
    <w:rsid w:val="00D34E61"/>
    <w:rsid w:val="00D4059B"/>
    <w:rsid w:val="00D4381A"/>
    <w:rsid w:val="00D4394A"/>
    <w:rsid w:val="00D45C97"/>
    <w:rsid w:val="00D5189C"/>
    <w:rsid w:val="00D53305"/>
    <w:rsid w:val="00D553B2"/>
    <w:rsid w:val="00D5657B"/>
    <w:rsid w:val="00D56B9B"/>
    <w:rsid w:val="00D67086"/>
    <w:rsid w:val="00D70C97"/>
    <w:rsid w:val="00D7145A"/>
    <w:rsid w:val="00D72416"/>
    <w:rsid w:val="00D7278D"/>
    <w:rsid w:val="00D75EE5"/>
    <w:rsid w:val="00D75F77"/>
    <w:rsid w:val="00D82555"/>
    <w:rsid w:val="00D835FE"/>
    <w:rsid w:val="00D84E3F"/>
    <w:rsid w:val="00D85490"/>
    <w:rsid w:val="00D87AED"/>
    <w:rsid w:val="00D9009E"/>
    <w:rsid w:val="00D91C16"/>
    <w:rsid w:val="00D94D5E"/>
    <w:rsid w:val="00D957DE"/>
    <w:rsid w:val="00DA1395"/>
    <w:rsid w:val="00DA38DD"/>
    <w:rsid w:val="00DA545B"/>
    <w:rsid w:val="00DA57EF"/>
    <w:rsid w:val="00DA6DE2"/>
    <w:rsid w:val="00DA73E6"/>
    <w:rsid w:val="00DB03E2"/>
    <w:rsid w:val="00DB05E6"/>
    <w:rsid w:val="00DB198F"/>
    <w:rsid w:val="00DB396C"/>
    <w:rsid w:val="00DB4337"/>
    <w:rsid w:val="00DB62E2"/>
    <w:rsid w:val="00DB678B"/>
    <w:rsid w:val="00DB6B4C"/>
    <w:rsid w:val="00DC0ABC"/>
    <w:rsid w:val="00DC0EC8"/>
    <w:rsid w:val="00DD7EC7"/>
    <w:rsid w:val="00DE5DC6"/>
    <w:rsid w:val="00DE7A96"/>
    <w:rsid w:val="00DF3445"/>
    <w:rsid w:val="00DF48B3"/>
    <w:rsid w:val="00DF48E1"/>
    <w:rsid w:val="00E0582F"/>
    <w:rsid w:val="00E05EDB"/>
    <w:rsid w:val="00E1794F"/>
    <w:rsid w:val="00E2089F"/>
    <w:rsid w:val="00E27629"/>
    <w:rsid w:val="00E3134D"/>
    <w:rsid w:val="00E36BB7"/>
    <w:rsid w:val="00E376B9"/>
    <w:rsid w:val="00E378F2"/>
    <w:rsid w:val="00E37F78"/>
    <w:rsid w:val="00E40214"/>
    <w:rsid w:val="00E45672"/>
    <w:rsid w:val="00E50A67"/>
    <w:rsid w:val="00E524F0"/>
    <w:rsid w:val="00E62105"/>
    <w:rsid w:val="00E62109"/>
    <w:rsid w:val="00E6538A"/>
    <w:rsid w:val="00E655DB"/>
    <w:rsid w:val="00E663FF"/>
    <w:rsid w:val="00E7193A"/>
    <w:rsid w:val="00E72255"/>
    <w:rsid w:val="00E72F24"/>
    <w:rsid w:val="00E73075"/>
    <w:rsid w:val="00E7335A"/>
    <w:rsid w:val="00E73919"/>
    <w:rsid w:val="00E73EBB"/>
    <w:rsid w:val="00E743A6"/>
    <w:rsid w:val="00E81D8A"/>
    <w:rsid w:val="00E87DCC"/>
    <w:rsid w:val="00E92E4F"/>
    <w:rsid w:val="00EA09BF"/>
    <w:rsid w:val="00EA0A9D"/>
    <w:rsid w:val="00EA473F"/>
    <w:rsid w:val="00EA4C50"/>
    <w:rsid w:val="00EA589B"/>
    <w:rsid w:val="00EA5C9B"/>
    <w:rsid w:val="00EA62D7"/>
    <w:rsid w:val="00EA6F63"/>
    <w:rsid w:val="00EB06D9"/>
    <w:rsid w:val="00EB1E61"/>
    <w:rsid w:val="00EB3EB6"/>
    <w:rsid w:val="00EB3F7F"/>
    <w:rsid w:val="00EB5043"/>
    <w:rsid w:val="00EB5949"/>
    <w:rsid w:val="00EC43E5"/>
    <w:rsid w:val="00EC4DF0"/>
    <w:rsid w:val="00EC51B7"/>
    <w:rsid w:val="00EC6CE9"/>
    <w:rsid w:val="00EC6FC9"/>
    <w:rsid w:val="00ED04E3"/>
    <w:rsid w:val="00ED1AE0"/>
    <w:rsid w:val="00ED38A4"/>
    <w:rsid w:val="00ED6EE7"/>
    <w:rsid w:val="00EE2BA7"/>
    <w:rsid w:val="00EE3F94"/>
    <w:rsid w:val="00EE4C5F"/>
    <w:rsid w:val="00EE6AFF"/>
    <w:rsid w:val="00EE71C6"/>
    <w:rsid w:val="00EF1C63"/>
    <w:rsid w:val="00EF3047"/>
    <w:rsid w:val="00EF63CA"/>
    <w:rsid w:val="00F01704"/>
    <w:rsid w:val="00F0304C"/>
    <w:rsid w:val="00F047A9"/>
    <w:rsid w:val="00F064F2"/>
    <w:rsid w:val="00F11324"/>
    <w:rsid w:val="00F12310"/>
    <w:rsid w:val="00F22132"/>
    <w:rsid w:val="00F23F1C"/>
    <w:rsid w:val="00F261C7"/>
    <w:rsid w:val="00F26331"/>
    <w:rsid w:val="00F26454"/>
    <w:rsid w:val="00F31735"/>
    <w:rsid w:val="00F32F13"/>
    <w:rsid w:val="00F358E6"/>
    <w:rsid w:val="00F35B0E"/>
    <w:rsid w:val="00F40823"/>
    <w:rsid w:val="00F50398"/>
    <w:rsid w:val="00F51F1D"/>
    <w:rsid w:val="00F539A0"/>
    <w:rsid w:val="00F5642D"/>
    <w:rsid w:val="00F60080"/>
    <w:rsid w:val="00F61519"/>
    <w:rsid w:val="00F656E1"/>
    <w:rsid w:val="00F71C5F"/>
    <w:rsid w:val="00F7220E"/>
    <w:rsid w:val="00F75336"/>
    <w:rsid w:val="00F84160"/>
    <w:rsid w:val="00F848EF"/>
    <w:rsid w:val="00F8501C"/>
    <w:rsid w:val="00F87E47"/>
    <w:rsid w:val="00F9055C"/>
    <w:rsid w:val="00F906C9"/>
    <w:rsid w:val="00F95145"/>
    <w:rsid w:val="00FA087F"/>
    <w:rsid w:val="00FB12CE"/>
    <w:rsid w:val="00FB58FA"/>
    <w:rsid w:val="00FB783F"/>
    <w:rsid w:val="00FC03A8"/>
    <w:rsid w:val="00FC33D5"/>
    <w:rsid w:val="00FC60FE"/>
    <w:rsid w:val="00FD403E"/>
    <w:rsid w:val="00FD4CCF"/>
    <w:rsid w:val="00FD5AC4"/>
    <w:rsid w:val="00FD6AF4"/>
    <w:rsid w:val="00FD6B5C"/>
    <w:rsid w:val="00FE77E5"/>
    <w:rsid w:val="00FF13FB"/>
    <w:rsid w:val="00FF2951"/>
    <w:rsid w:val="00FF2A2C"/>
    <w:rsid w:val="00FF4169"/>
    <w:rsid w:val="00FF7C3D"/>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A8EFEF"/>
  <w15:chartTrackingRefBased/>
  <w15:docId w15:val="{A2177C32-DFB9-47DC-BE04-A57FDBFAB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7BBF"/>
    <w:pPr>
      <w:spacing w:line="240" w:lineRule="auto"/>
    </w:pPr>
    <w:rPr>
      <w:rFonts w:ascii="Cambria" w:hAnsi="Cambria" w:cs="Times New Roman"/>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03C01"/>
    <w:pPr>
      <w:spacing w:after="0" w:line="240" w:lineRule="auto"/>
    </w:pPr>
    <w:tblPr>
      <w:tblBorders>
        <w:top w:val="single" w:sz="4" w:space="0" w:color="404040" w:themeColor="accent1"/>
        <w:left w:val="single" w:sz="4" w:space="0" w:color="404040" w:themeColor="accent1"/>
        <w:bottom w:val="single" w:sz="4" w:space="0" w:color="404040" w:themeColor="accent1"/>
        <w:right w:val="single" w:sz="4" w:space="0" w:color="404040" w:themeColor="accent1"/>
        <w:insideH w:val="single" w:sz="4" w:space="0" w:color="404040" w:themeColor="accent1"/>
        <w:insideV w:val="single" w:sz="4" w:space="0" w:color="404040" w:themeColor="accent1"/>
      </w:tblBorders>
    </w:tblPr>
    <w:tblStylePr w:type="firstRow">
      <w:rPr>
        <w:rFonts w:asciiTheme="minorHAnsi" w:hAnsiTheme="minorHAnsi"/>
        <w:b/>
        <w:color w:val="00788A" w:themeColor="text1"/>
        <w:sz w:val="24"/>
      </w:rPr>
      <w:tblPr/>
      <w:tcPr>
        <w:shd w:val="clear" w:color="auto" w:fill="D8D8D8" w:themeFill="accent3"/>
      </w:tcPr>
    </w:tblStylePr>
  </w:style>
  <w:style w:type="paragraph" w:styleId="Encabezado">
    <w:name w:val="header"/>
    <w:basedOn w:val="Normal"/>
    <w:link w:val="EncabezadoCar"/>
    <w:uiPriority w:val="99"/>
    <w:unhideWhenUsed/>
    <w:rsid w:val="00935185"/>
    <w:pPr>
      <w:tabs>
        <w:tab w:val="center" w:pos="4419"/>
        <w:tab w:val="right" w:pos="8838"/>
      </w:tabs>
      <w:spacing w:after="0"/>
    </w:pPr>
  </w:style>
  <w:style w:type="character" w:customStyle="1" w:styleId="EncabezadoCar">
    <w:name w:val="Encabezado Car"/>
    <w:basedOn w:val="Fuentedeprrafopredeter"/>
    <w:link w:val="Encabezado"/>
    <w:uiPriority w:val="99"/>
    <w:rsid w:val="00935185"/>
  </w:style>
  <w:style w:type="paragraph" w:styleId="Piedepgina">
    <w:name w:val="footer"/>
    <w:basedOn w:val="Normal"/>
    <w:link w:val="PiedepginaCar"/>
    <w:uiPriority w:val="99"/>
    <w:unhideWhenUsed/>
    <w:rsid w:val="00935185"/>
    <w:pPr>
      <w:tabs>
        <w:tab w:val="center" w:pos="4419"/>
        <w:tab w:val="right" w:pos="8838"/>
      </w:tabs>
      <w:spacing w:after="0"/>
    </w:pPr>
  </w:style>
  <w:style w:type="character" w:customStyle="1" w:styleId="PiedepginaCar">
    <w:name w:val="Pie de página Car"/>
    <w:basedOn w:val="Fuentedeprrafopredeter"/>
    <w:link w:val="Piedepgina"/>
    <w:uiPriority w:val="99"/>
    <w:rsid w:val="00935185"/>
  </w:style>
  <w:style w:type="paragraph" w:styleId="Textodeglobo">
    <w:name w:val="Balloon Text"/>
    <w:basedOn w:val="Normal"/>
    <w:link w:val="TextodegloboCar"/>
    <w:uiPriority w:val="99"/>
    <w:semiHidden/>
    <w:unhideWhenUsed/>
    <w:rsid w:val="00935185"/>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5185"/>
    <w:rPr>
      <w:rFonts w:ascii="Tahoma" w:hAnsi="Tahoma" w:cs="Tahoma"/>
      <w:sz w:val="16"/>
      <w:szCs w:val="16"/>
    </w:rPr>
  </w:style>
  <w:style w:type="paragraph" w:styleId="Prrafodelista">
    <w:name w:val="List Paragraph"/>
    <w:aliases w:val="titulo 3,Ha,Párrafo de lista2,Bullets,List Paragraph_0,Bullet List,FooterText,numbered,List Paragraph1,Paragraphe de liste1,lp1,Bulletr List Paragraph,Foot,列出段落,列出段落1,List Paragraph2,List Paragraph21,Parágrafo da Lista1"/>
    <w:basedOn w:val="Normal"/>
    <w:link w:val="PrrafodelistaCar"/>
    <w:uiPriority w:val="34"/>
    <w:qFormat/>
    <w:rsid w:val="00C80D50"/>
    <w:pPr>
      <w:ind w:left="720"/>
      <w:contextualSpacing/>
    </w:pPr>
  </w:style>
  <w:style w:type="character" w:styleId="Hipervnculo">
    <w:name w:val="Hyperlink"/>
    <w:basedOn w:val="Fuentedeprrafopredeter"/>
    <w:uiPriority w:val="99"/>
    <w:unhideWhenUsed/>
    <w:rsid w:val="00EF3047"/>
    <w:rPr>
      <w:color w:val="FFFFFF" w:themeColor="hyperlink"/>
      <w:u w:val="single"/>
    </w:rPr>
  </w:style>
  <w:style w:type="paragraph" w:styleId="Textonotapie">
    <w:name w:val="footnote text"/>
    <w:basedOn w:val="Normal"/>
    <w:link w:val="TextonotapieCar"/>
    <w:uiPriority w:val="99"/>
    <w:semiHidden/>
    <w:unhideWhenUsed/>
    <w:rsid w:val="00EF3047"/>
    <w:pPr>
      <w:spacing w:after="0"/>
    </w:pPr>
    <w:rPr>
      <w:sz w:val="20"/>
      <w:szCs w:val="20"/>
    </w:rPr>
  </w:style>
  <w:style w:type="character" w:customStyle="1" w:styleId="TextonotapieCar">
    <w:name w:val="Texto nota pie Car"/>
    <w:basedOn w:val="Fuentedeprrafopredeter"/>
    <w:link w:val="Textonotapie"/>
    <w:uiPriority w:val="99"/>
    <w:semiHidden/>
    <w:rsid w:val="00EF3047"/>
    <w:rPr>
      <w:rFonts w:ascii="Cambria" w:hAnsi="Cambria" w:cs="Times New Roman"/>
      <w:sz w:val="20"/>
      <w:szCs w:val="20"/>
      <w:lang w:val="es-ES"/>
    </w:rPr>
  </w:style>
  <w:style w:type="character" w:styleId="Refdenotaalpie">
    <w:name w:val="footnote reference"/>
    <w:basedOn w:val="Fuentedeprrafopredeter"/>
    <w:uiPriority w:val="99"/>
    <w:unhideWhenUsed/>
    <w:rsid w:val="00EF3047"/>
    <w:rPr>
      <w:vertAlign w:val="superscript"/>
    </w:rPr>
  </w:style>
  <w:style w:type="character" w:customStyle="1" w:styleId="PrrafodelistaCar">
    <w:name w:val="Párrafo de lista Car"/>
    <w:aliases w:val="titulo 3 Car,Ha Car,Párrafo de lista2 Car,Bullets Car,List Paragraph_0 Car,Bullet List Car,FooterText Car,numbered Car,List Paragraph1 Car,Paragraphe de liste1 Car,lp1 Car,Bulletr List Paragraph Car,Foot Car,列出段落 Car,列出段落1 Car"/>
    <w:link w:val="Prrafodelista"/>
    <w:uiPriority w:val="99"/>
    <w:locked/>
    <w:rsid w:val="00F35B0E"/>
    <w:rPr>
      <w:rFonts w:ascii="Cambria" w:hAnsi="Cambria" w:cs="Times New Roman"/>
      <w:sz w:val="24"/>
      <w:szCs w:val="24"/>
      <w:lang w:val="es-ES"/>
    </w:rPr>
  </w:style>
  <w:style w:type="character" w:customStyle="1" w:styleId="Mencinsinresolver1">
    <w:name w:val="Mención sin resolver1"/>
    <w:basedOn w:val="Fuentedeprrafopredeter"/>
    <w:uiPriority w:val="99"/>
    <w:semiHidden/>
    <w:unhideWhenUsed/>
    <w:rsid w:val="00A15CA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897898">
      <w:bodyDiv w:val="1"/>
      <w:marLeft w:val="0"/>
      <w:marRight w:val="0"/>
      <w:marTop w:val="0"/>
      <w:marBottom w:val="0"/>
      <w:divBdr>
        <w:top w:val="none" w:sz="0" w:space="0" w:color="auto"/>
        <w:left w:val="none" w:sz="0" w:space="0" w:color="auto"/>
        <w:bottom w:val="none" w:sz="0" w:space="0" w:color="auto"/>
        <w:right w:val="none" w:sz="0" w:space="0" w:color="auto"/>
      </w:divBdr>
    </w:div>
    <w:div w:id="1804233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image" Target="media/image32.emf"/><Relationship Id="rId21" Type="http://schemas.openxmlformats.org/officeDocument/2006/relationships/image" Target="media/image14.emf"/><Relationship Id="rId34" Type="http://schemas.openxmlformats.org/officeDocument/2006/relationships/image" Target="media/image27.emf"/><Relationship Id="rId42" Type="http://schemas.openxmlformats.org/officeDocument/2006/relationships/image" Target="media/image35.emf"/><Relationship Id="rId47" Type="http://schemas.openxmlformats.org/officeDocument/2006/relationships/image" Target="media/image40.emf"/><Relationship Id="rId50" Type="http://schemas.openxmlformats.org/officeDocument/2006/relationships/image" Target="media/image42.emf"/><Relationship Id="rId55" Type="http://schemas.openxmlformats.org/officeDocument/2006/relationships/chart" Target="charts/chart1.xml"/><Relationship Id="rId63"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emf"/><Relationship Id="rId29" Type="http://schemas.openxmlformats.org/officeDocument/2006/relationships/image" Target="media/image22.emf"/><Relationship Id="rId41" Type="http://schemas.openxmlformats.org/officeDocument/2006/relationships/image" Target="media/image34.emf"/><Relationship Id="rId54" Type="http://schemas.openxmlformats.org/officeDocument/2006/relationships/image" Target="media/image46.png"/><Relationship Id="rId62" Type="http://schemas.openxmlformats.org/officeDocument/2006/relationships/image" Target="media/image5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image" Target="media/image33.emf"/><Relationship Id="rId45" Type="http://schemas.openxmlformats.org/officeDocument/2006/relationships/image" Target="media/image38.emf"/><Relationship Id="rId53" Type="http://schemas.openxmlformats.org/officeDocument/2006/relationships/image" Target="media/image45.png"/><Relationship Id="rId58" Type="http://schemas.openxmlformats.org/officeDocument/2006/relationships/image" Target="media/image49.emf"/><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49" Type="http://schemas.openxmlformats.org/officeDocument/2006/relationships/hyperlink" Target="file:///\\totoro\Unidad_Victimas\Financiera\Presupuesto\2018" TargetMode="External"/><Relationship Id="rId57" Type="http://schemas.openxmlformats.org/officeDocument/2006/relationships/image" Target="media/image48.png"/><Relationship Id="rId61" Type="http://schemas.openxmlformats.org/officeDocument/2006/relationships/chart" Target="charts/chart4.xml"/><Relationship Id="rId10" Type="http://schemas.openxmlformats.org/officeDocument/2006/relationships/image" Target="media/image3.png"/><Relationship Id="rId19" Type="http://schemas.openxmlformats.org/officeDocument/2006/relationships/image" Target="media/image12.emf"/><Relationship Id="rId31" Type="http://schemas.openxmlformats.org/officeDocument/2006/relationships/image" Target="media/image24.emf"/><Relationship Id="rId44" Type="http://schemas.openxmlformats.org/officeDocument/2006/relationships/image" Target="media/image37.emf"/><Relationship Id="rId52" Type="http://schemas.openxmlformats.org/officeDocument/2006/relationships/image" Target="media/image44.png"/><Relationship Id="rId60" Type="http://schemas.openxmlformats.org/officeDocument/2006/relationships/chart" Target="charts/chart3.xm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emf"/><Relationship Id="rId27" Type="http://schemas.openxmlformats.org/officeDocument/2006/relationships/image" Target="media/image20.png"/><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image" Target="media/image36.emf"/><Relationship Id="rId48" Type="http://schemas.openxmlformats.org/officeDocument/2006/relationships/image" Target="media/image41.emf"/><Relationship Id="rId56" Type="http://schemas.openxmlformats.org/officeDocument/2006/relationships/image" Target="media/image47.png"/><Relationship Id="rId64"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image" Target="media/image43.emf"/><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image" Target="media/image39.emf"/><Relationship Id="rId59" Type="http://schemas.openxmlformats.org/officeDocument/2006/relationships/chart" Target="charts/chart2.xml"/></Relationships>
</file>

<file path=word/_rels/header1.xml.rels><?xml version="1.0" encoding="UTF-8" standalone="yes"?>
<Relationships xmlns="http://schemas.openxmlformats.org/package/2006/relationships"><Relationship Id="rId1" Type="http://schemas.openxmlformats.org/officeDocument/2006/relationships/image" Target="media/image51.jpe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william.marquez.UARIV\AppData\Local\Microsoft\Windows\Temporary%20Internet%20Files\Content.Outlook\4XPBK8GH\INPANUT%20GRAFICAS.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william.marquez.UARIV\AppData\Local\Microsoft\Windows\Temporary%20Internet%20Files\Content.Outlook\4XPBK8GH\Comparativo%20ejecuci&#242;n%20presupuestal%202017%20Vs%202018%201er%20semestre.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william.marquez.UARIV\AppData\Local\Microsoft\Windows\Temporary%20Internet%20Files\Content.Outlook\4XPBK8GH\Comparativo%20ejecuci&#242;n%20presupuestal%202017%20Vs%202018%201er%20semestre.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Users\william.marquez.UARIV\AppData\Local\Microsoft\Windows\Temporary%20Internet%20Files\Content.Outlook\4XPBK8GH\Comparativo%20ejecuci&#242;n%20presupuestal%202017%20Vs%202018%201er%20semestr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r>
              <a:rPr lang="es-CO" sz="1600" b="1">
                <a:solidFill>
                  <a:sysClr val="windowText" lastClr="000000"/>
                </a:solidFill>
              </a:rPr>
              <a:t>INPANUT INVERSIÓN ESPECIFICA</a:t>
            </a:r>
          </a:p>
        </c:rich>
      </c:tx>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endParaRPr lang="es-CO"/>
        </a:p>
      </c:txPr>
    </c:title>
    <c:autoTitleDeleted val="0"/>
    <c:plotArea>
      <c:layout>
        <c:manualLayout>
          <c:layoutTarget val="inner"/>
          <c:xMode val="edge"/>
          <c:yMode val="edge"/>
          <c:x val="3.6111111111111108E-2"/>
          <c:y val="0.16075252616085323"/>
          <c:w val="0.93888888888888888"/>
          <c:h val="0.69109290477186658"/>
        </c:manualLayout>
      </c:layout>
      <c:barChart>
        <c:barDir val="col"/>
        <c:grouping val="clustered"/>
        <c:varyColors val="1"/>
        <c:ser>
          <c:idx val="0"/>
          <c:order val="0"/>
          <c:invertIfNegative val="0"/>
          <c:dPt>
            <c:idx val="0"/>
            <c:invertIfNegative val="0"/>
            <c:bubble3D val="0"/>
            <c:spPr>
              <a:solidFill>
                <a:schemeClr val="accent1"/>
              </a:solidFill>
              <a:ln>
                <a:noFill/>
              </a:ln>
              <a:effectLst/>
            </c:spPr>
            <c:extLst>
              <c:ext xmlns:c16="http://schemas.microsoft.com/office/drawing/2014/chart" uri="{C3380CC4-5D6E-409C-BE32-E72D297353CC}">
                <c16:uniqueId val="{00000001-F3A0-438A-A672-ED8C05B4769C}"/>
              </c:ext>
            </c:extLst>
          </c:dPt>
          <c:dPt>
            <c:idx val="1"/>
            <c:invertIfNegative val="0"/>
            <c:bubble3D val="0"/>
            <c:spPr>
              <a:solidFill>
                <a:schemeClr val="accent2"/>
              </a:solidFill>
              <a:ln>
                <a:noFill/>
              </a:ln>
              <a:effectLst/>
            </c:spPr>
            <c:extLst>
              <c:ext xmlns:c16="http://schemas.microsoft.com/office/drawing/2014/chart" uri="{C3380CC4-5D6E-409C-BE32-E72D297353CC}">
                <c16:uniqueId val="{00000003-F3A0-438A-A672-ED8C05B4769C}"/>
              </c:ext>
            </c:extLst>
          </c:dPt>
          <c:dPt>
            <c:idx val="2"/>
            <c:invertIfNegative val="0"/>
            <c:bubble3D val="0"/>
            <c:spPr>
              <a:solidFill>
                <a:schemeClr val="accent3"/>
              </a:solidFill>
              <a:ln>
                <a:noFill/>
              </a:ln>
              <a:effectLst/>
            </c:spPr>
            <c:extLst>
              <c:ext xmlns:c16="http://schemas.microsoft.com/office/drawing/2014/chart" uri="{C3380CC4-5D6E-409C-BE32-E72D297353CC}">
                <c16:uniqueId val="{00000005-F3A0-438A-A672-ED8C05B4769C}"/>
              </c:ext>
            </c:extLst>
          </c:dPt>
          <c:dPt>
            <c:idx val="3"/>
            <c:invertIfNegative val="0"/>
            <c:bubble3D val="0"/>
            <c:spPr>
              <a:solidFill>
                <a:schemeClr val="accent4"/>
              </a:solidFill>
              <a:ln>
                <a:noFill/>
              </a:ln>
              <a:effectLst/>
            </c:spPr>
            <c:extLst>
              <c:ext xmlns:c16="http://schemas.microsoft.com/office/drawing/2014/chart" uri="{C3380CC4-5D6E-409C-BE32-E72D297353CC}">
                <c16:uniqueId val="{00000007-F3A0-438A-A672-ED8C05B4769C}"/>
              </c:ext>
            </c:extLst>
          </c:dPt>
          <c:dPt>
            <c:idx val="4"/>
            <c:invertIfNegative val="0"/>
            <c:bubble3D val="0"/>
            <c:spPr>
              <a:solidFill>
                <a:schemeClr val="accent5"/>
              </a:solidFill>
              <a:ln>
                <a:noFill/>
              </a:ln>
              <a:effectLst/>
            </c:spPr>
            <c:extLst>
              <c:ext xmlns:c16="http://schemas.microsoft.com/office/drawing/2014/chart" uri="{C3380CC4-5D6E-409C-BE32-E72D297353CC}">
                <c16:uniqueId val="{00000009-F3A0-438A-A672-ED8C05B4769C}"/>
              </c:ext>
            </c:extLst>
          </c:dPt>
          <c:dPt>
            <c:idx val="5"/>
            <c:invertIfNegative val="0"/>
            <c:bubble3D val="0"/>
            <c:spPr>
              <a:solidFill>
                <a:schemeClr val="accent6"/>
              </a:solidFill>
              <a:ln>
                <a:noFill/>
              </a:ln>
              <a:effectLst/>
            </c:spPr>
            <c:extLst>
              <c:ext xmlns:c16="http://schemas.microsoft.com/office/drawing/2014/chart" uri="{C3380CC4-5D6E-409C-BE32-E72D297353CC}">
                <c16:uniqueId val="{0000000B-F3A0-438A-A672-ED8C05B4769C}"/>
              </c:ext>
            </c:extLst>
          </c:dPt>
          <c:dLbls>
            <c:dLbl>
              <c:idx val="1"/>
              <c:tx>
                <c:rich>
                  <a:bodyPr/>
                  <a:lstStyle/>
                  <a:p>
                    <a:fld id="{B27E79D2-33F1-46E4-9F05-47C567CF7F6E}" type="VALUE">
                      <a:rPr lang="en-US" b="1"/>
                      <a:pPr/>
                      <a:t>[VALOR]</a:t>
                    </a:fld>
                    <a:endParaRPr lang="es-CO"/>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F3A0-438A-A672-ED8C05B4769C}"/>
                </c:ext>
              </c:extLst>
            </c:dLbl>
            <c:dLbl>
              <c:idx val="2"/>
              <c:tx>
                <c:rich>
                  <a:bodyPr/>
                  <a:lstStyle/>
                  <a:p>
                    <a:fld id="{E36A182C-E917-4EDF-BF90-7ECCA543EB55}" type="VALUE">
                      <a:rPr lang="en-US" b="1"/>
                      <a:pPr/>
                      <a:t>[VALOR]</a:t>
                    </a:fld>
                    <a:endParaRPr lang="es-CO"/>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F3A0-438A-A672-ED8C05B4769C}"/>
                </c:ext>
              </c:extLst>
            </c:dLbl>
            <c:dLbl>
              <c:idx val="3"/>
              <c:tx>
                <c:rich>
                  <a:bodyPr/>
                  <a:lstStyle/>
                  <a:p>
                    <a:fld id="{F0FE2DD7-2608-4E08-885C-0C8F283D2D42}" type="VALUE">
                      <a:rPr lang="en-US" b="1"/>
                      <a:pPr/>
                      <a:t>[VALOR]</a:t>
                    </a:fld>
                    <a:endParaRPr lang="es-CO"/>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F3A0-438A-A672-ED8C05B4769C}"/>
                </c:ext>
              </c:extLst>
            </c:dLbl>
            <c:dLbl>
              <c:idx val="4"/>
              <c:tx>
                <c:rich>
                  <a:bodyPr/>
                  <a:lstStyle/>
                  <a:p>
                    <a:fld id="{EA08C098-190F-4802-B79E-38F44404B943}" type="VALUE">
                      <a:rPr lang="en-US" b="1"/>
                      <a:pPr/>
                      <a:t>[VALOR]</a:t>
                    </a:fld>
                    <a:endParaRPr lang="es-CO"/>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F3A0-438A-A672-ED8C05B4769C}"/>
                </c:ext>
              </c:extLst>
            </c:dLbl>
            <c:dLbl>
              <c:idx val="5"/>
              <c:tx>
                <c:rich>
                  <a:bodyPr/>
                  <a:lstStyle/>
                  <a:p>
                    <a:fld id="{DC726681-6908-414C-96D6-B3126D31A2EB}" type="VALUE">
                      <a:rPr lang="en-US" b="1"/>
                      <a:pPr/>
                      <a:t>[VALOR]</a:t>
                    </a:fld>
                    <a:endParaRPr lang="es-CO"/>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F3A0-438A-A672-ED8C05B4769C}"/>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Hoja1!$I$5:$O$5</c:f>
              <c:strCache>
                <c:ptCount val="6"/>
                <c:pt idx="0">
                  <c:v> INPANUT ENERO(%) </c:v>
                </c:pt>
                <c:pt idx="1">
                  <c:v> INPANUT FEBRERO(%) </c:v>
                </c:pt>
                <c:pt idx="2">
                  <c:v> INPANUT MARZO(%) </c:v>
                </c:pt>
                <c:pt idx="3">
                  <c:v> INPANUT ABRIL(%) </c:v>
                </c:pt>
                <c:pt idx="4">
                  <c:v> INPANUT MAYO(%) </c:v>
                </c:pt>
                <c:pt idx="5">
                  <c:v> INPANUT JUNIO(%) </c:v>
                </c:pt>
              </c:strCache>
              <c:extLst/>
            </c:strRef>
          </c:cat>
          <c:val>
            <c:numRef>
              <c:f>Hoja1!$I$9:$O$9</c:f>
              <c:numCache>
                <c:formatCode>0.00%</c:formatCode>
                <c:ptCount val="6"/>
                <c:pt idx="0">
                  <c:v>0</c:v>
                </c:pt>
                <c:pt idx="1">
                  <c:v>0.98438599394889481</c:v>
                </c:pt>
                <c:pt idx="2">
                  <c:v>0.80985071326375269</c:v>
                </c:pt>
                <c:pt idx="3">
                  <c:v>0.38244428578393541</c:v>
                </c:pt>
                <c:pt idx="4">
                  <c:v>0.91919756807423869</c:v>
                </c:pt>
                <c:pt idx="5">
                  <c:v>0.93045195206999398</c:v>
                </c:pt>
              </c:numCache>
              <c:extLst/>
            </c:numRef>
          </c:val>
          <c:extLst>
            <c:ext xmlns:c16="http://schemas.microsoft.com/office/drawing/2014/chart" uri="{C3380CC4-5D6E-409C-BE32-E72D297353CC}">
              <c16:uniqueId val="{0000000C-F3A0-438A-A672-ED8C05B4769C}"/>
            </c:ext>
          </c:extLst>
        </c:ser>
        <c:dLbls>
          <c:dLblPos val="outEnd"/>
          <c:showLegendKey val="0"/>
          <c:showVal val="1"/>
          <c:showCatName val="0"/>
          <c:showSerName val="0"/>
          <c:showPercent val="0"/>
          <c:showBubbleSize val="0"/>
        </c:dLbls>
        <c:gapWidth val="219"/>
        <c:axId val="410944160"/>
        <c:axId val="410944488"/>
      </c:barChart>
      <c:catAx>
        <c:axId val="410944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s-CO"/>
          </a:p>
        </c:txPr>
        <c:crossAx val="410944488"/>
        <c:crosses val="autoZero"/>
        <c:auto val="1"/>
        <c:lblAlgn val="ctr"/>
        <c:lblOffset val="100"/>
        <c:noMultiLvlLbl val="0"/>
      </c:catAx>
      <c:valAx>
        <c:axId val="41094448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s-CO"/>
          </a:p>
        </c:txPr>
        <c:crossAx val="4109441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r>
              <a:rPr lang="es-CO" b="1">
                <a:solidFill>
                  <a:schemeClr val="tx1"/>
                </a:solidFill>
              </a:rPr>
              <a:t>Compromisos</a:t>
            </a:r>
            <a:r>
              <a:rPr lang="es-CO" b="1" baseline="0">
                <a:solidFill>
                  <a:schemeClr val="tx1"/>
                </a:solidFill>
              </a:rPr>
              <a:t> Enero a Junio 2017-2018</a:t>
            </a:r>
            <a:endParaRPr lang="es-CO" b="1">
              <a:solidFill>
                <a:schemeClr val="tx1"/>
              </a:solidFill>
            </a:endParaRPr>
          </a:p>
        </c:rich>
      </c:tx>
      <c:layout>
        <c:manualLayout>
          <c:xMode val="edge"/>
          <c:yMode val="edge"/>
          <c:x val="0.12004548477761806"/>
          <c:y val="3.5087719298245612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endParaRPr lang="es-CO"/>
        </a:p>
      </c:txPr>
    </c:title>
    <c:autoTitleDeleted val="0"/>
    <c:plotArea>
      <c:layout/>
      <c:barChart>
        <c:barDir val="col"/>
        <c:grouping val="clustered"/>
        <c:varyColors val="0"/>
        <c:ser>
          <c:idx val="0"/>
          <c:order val="0"/>
          <c:tx>
            <c:strRef>
              <c:f>'Comparativo Ejec. Ptal 17 Vs 18'!$L$3</c:f>
              <c:strCache>
                <c:ptCount val="1"/>
                <c:pt idx="0">
                  <c:v>COMPROMISOS 2017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'Comparativo Ejec. Ptal 17 Vs 18'!$M$2:$R$2</c:f>
              <c:strCache>
                <c:ptCount val="6"/>
                <c:pt idx="0">
                  <c:v>ENERO</c:v>
                </c:pt>
                <c:pt idx="1">
                  <c:v>FEBRERO</c:v>
                </c:pt>
                <c:pt idx="2">
                  <c:v>MARZO</c:v>
                </c:pt>
                <c:pt idx="3">
                  <c:v>ABRIL</c:v>
                </c:pt>
                <c:pt idx="4">
                  <c:v>MAYO</c:v>
                </c:pt>
                <c:pt idx="5">
                  <c:v>JUNIO</c:v>
                </c:pt>
              </c:strCache>
            </c:strRef>
          </c:cat>
          <c:val>
            <c:numRef>
              <c:f>'Comparativo Ejec. Ptal 17 Vs 18'!$M$3:$R$3</c:f>
              <c:numCache>
                <c:formatCode>0%</c:formatCode>
                <c:ptCount val="6"/>
                <c:pt idx="0">
                  <c:v>3.95E-2</c:v>
                </c:pt>
                <c:pt idx="1">
                  <c:v>5.16E-2</c:v>
                </c:pt>
                <c:pt idx="2">
                  <c:v>0.14360000000000001</c:v>
                </c:pt>
                <c:pt idx="3">
                  <c:v>0.16800000000000001</c:v>
                </c:pt>
                <c:pt idx="4">
                  <c:v>0.222</c:v>
                </c:pt>
                <c:pt idx="5">
                  <c:v>0.2535</c:v>
                </c:pt>
              </c:numCache>
            </c:numRef>
          </c:val>
          <c:extLst>
            <c:ext xmlns:c16="http://schemas.microsoft.com/office/drawing/2014/chart" uri="{C3380CC4-5D6E-409C-BE32-E72D297353CC}">
              <c16:uniqueId val="{00000000-521A-452D-B9E2-C93A585E6756}"/>
            </c:ext>
          </c:extLst>
        </c:ser>
        <c:ser>
          <c:idx val="1"/>
          <c:order val="1"/>
          <c:tx>
            <c:strRef>
              <c:f>'Comparativo Ejec. Ptal 17 Vs 18'!$L$4</c:f>
              <c:strCache>
                <c:ptCount val="1"/>
                <c:pt idx="0">
                  <c:v>COMPROMISOS 2018</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'Comparativo Ejec. Ptal 17 Vs 18'!$M$2:$R$2</c:f>
              <c:strCache>
                <c:ptCount val="6"/>
                <c:pt idx="0">
                  <c:v>ENERO</c:v>
                </c:pt>
                <c:pt idx="1">
                  <c:v>FEBRERO</c:v>
                </c:pt>
                <c:pt idx="2">
                  <c:v>MARZO</c:v>
                </c:pt>
                <c:pt idx="3">
                  <c:v>ABRIL</c:v>
                </c:pt>
                <c:pt idx="4">
                  <c:v>MAYO</c:v>
                </c:pt>
                <c:pt idx="5">
                  <c:v>JUNIO</c:v>
                </c:pt>
              </c:strCache>
            </c:strRef>
          </c:cat>
          <c:val>
            <c:numRef>
              <c:f>'Comparativo Ejec. Ptal 17 Vs 18'!$M$4:$R$4</c:f>
              <c:numCache>
                <c:formatCode>0%</c:formatCode>
                <c:ptCount val="6"/>
                <c:pt idx="0">
                  <c:v>0.13500000000000001</c:v>
                </c:pt>
                <c:pt idx="1">
                  <c:v>0.18429999999999999</c:v>
                </c:pt>
                <c:pt idx="2">
                  <c:v>0.23</c:v>
                </c:pt>
                <c:pt idx="3">
                  <c:v>0.30149999999999999</c:v>
                </c:pt>
                <c:pt idx="4">
                  <c:v>0.39910000000000001</c:v>
                </c:pt>
                <c:pt idx="5">
                  <c:v>0.51170000000000004</c:v>
                </c:pt>
              </c:numCache>
            </c:numRef>
          </c:val>
          <c:extLst>
            <c:ext xmlns:c16="http://schemas.microsoft.com/office/drawing/2014/chart" uri="{C3380CC4-5D6E-409C-BE32-E72D297353CC}">
              <c16:uniqueId val="{00000001-521A-452D-B9E2-C93A585E6756}"/>
            </c:ext>
          </c:extLst>
        </c:ser>
        <c:dLbls>
          <c:dLblPos val="outEnd"/>
          <c:showLegendKey val="0"/>
          <c:showVal val="1"/>
          <c:showCatName val="0"/>
          <c:showSerName val="0"/>
          <c:showPercent val="0"/>
          <c:showBubbleSize val="0"/>
        </c:dLbls>
        <c:gapWidth val="219"/>
        <c:overlap val="-27"/>
        <c:axId val="401778328"/>
        <c:axId val="401772752"/>
      </c:barChart>
      <c:catAx>
        <c:axId val="401778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s-CO"/>
          </a:p>
        </c:txPr>
        <c:crossAx val="401772752"/>
        <c:crosses val="autoZero"/>
        <c:auto val="1"/>
        <c:lblAlgn val="ctr"/>
        <c:lblOffset val="100"/>
        <c:noMultiLvlLbl val="0"/>
      </c:catAx>
      <c:valAx>
        <c:axId val="40177275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s-CO"/>
          </a:p>
        </c:txPr>
        <c:crossAx val="4017783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r>
              <a:rPr lang="es-CO" sz="1400" b="1" i="0" baseline="0">
                <a:solidFill>
                  <a:schemeClr val="tx1"/>
                </a:solidFill>
                <a:effectLst/>
              </a:rPr>
              <a:t>Obligaciones Enero a Junio 2017-2018</a:t>
            </a:r>
            <a:endParaRPr lang="es-CO" sz="1400" b="1">
              <a:solidFill>
                <a:schemeClr val="tx1"/>
              </a:solidFill>
              <a:effectLst/>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endParaRPr lang="es-CO"/>
        </a:p>
      </c:txPr>
    </c:title>
    <c:autoTitleDeleted val="0"/>
    <c:plotArea>
      <c:layout/>
      <c:barChart>
        <c:barDir val="col"/>
        <c:grouping val="clustered"/>
        <c:varyColors val="0"/>
        <c:ser>
          <c:idx val="0"/>
          <c:order val="0"/>
          <c:tx>
            <c:strRef>
              <c:f>'Comparativo Ejec. Ptal 17 Vs 18'!$L$5</c:f>
              <c:strCache>
                <c:ptCount val="1"/>
                <c:pt idx="0">
                  <c:v>OBLIGACIONES 2017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'Comparativo Ejec. Ptal 17 Vs 18'!$M$2:$R$2</c:f>
              <c:strCache>
                <c:ptCount val="6"/>
                <c:pt idx="0">
                  <c:v>ENERO</c:v>
                </c:pt>
                <c:pt idx="1">
                  <c:v>FEBRERO</c:v>
                </c:pt>
                <c:pt idx="2">
                  <c:v>MARZO</c:v>
                </c:pt>
                <c:pt idx="3">
                  <c:v>ABRIL</c:v>
                </c:pt>
                <c:pt idx="4">
                  <c:v>MAYO</c:v>
                </c:pt>
                <c:pt idx="5">
                  <c:v>JUNIO</c:v>
                </c:pt>
              </c:strCache>
            </c:strRef>
          </c:cat>
          <c:val>
            <c:numRef>
              <c:f>'Comparativo Ejec. Ptal 17 Vs 18'!$M$5:$R$5</c:f>
              <c:numCache>
                <c:formatCode>0%</c:formatCode>
                <c:ptCount val="6"/>
                <c:pt idx="0">
                  <c:v>4.53E-2</c:v>
                </c:pt>
                <c:pt idx="1">
                  <c:v>0.11700000000000001</c:v>
                </c:pt>
                <c:pt idx="2">
                  <c:v>0.2969</c:v>
                </c:pt>
                <c:pt idx="3">
                  <c:v>0.4128</c:v>
                </c:pt>
                <c:pt idx="4">
                  <c:v>0.48259999999999997</c:v>
                </c:pt>
                <c:pt idx="5">
                  <c:v>0.5766</c:v>
                </c:pt>
              </c:numCache>
            </c:numRef>
          </c:val>
          <c:extLst>
            <c:ext xmlns:c16="http://schemas.microsoft.com/office/drawing/2014/chart" uri="{C3380CC4-5D6E-409C-BE32-E72D297353CC}">
              <c16:uniqueId val="{00000000-14C4-4E30-9B25-0596EE4547CB}"/>
            </c:ext>
          </c:extLst>
        </c:ser>
        <c:ser>
          <c:idx val="1"/>
          <c:order val="1"/>
          <c:tx>
            <c:strRef>
              <c:f>'Comparativo Ejec. Ptal 17 Vs 18'!$L$6</c:f>
              <c:strCache>
                <c:ptCount val="1"/>
                <c:pt idx="0">
                  <c:v>OBLIGACIONES 2018</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'Comparativo Ejec. Ptal 17 Vs 18'!$M$2:$R$2</c:f>
              <c:strCache>
                <c:ptCount val="6"/>
                <c:pt idx="0">
                  <c:v>ENERO</c:v>
                </c:pt>
                <c:pt idx="1">
                  <c:v>FEBRERO</c:v>
                </c:pt>
                <c:pt idx="2">
                  <c:v>MARZO</c:v>
                </c:pt>
                <c:pt idx="3">
                  <c:v>ABRIL</c:v>
                </c:pt>
                <c:pt idx="4">
                  <c:v>MAYO</c:v>
                </c:pt>
                <c:pt idx="5">
                  <c:v>JUNIO</c:v>
                </c:pt>
              </c:strCache>
            </c:strRef>
          </c:cat>
          <c:val>
            <c:numRef>
              <c:f>'Comparativo Ejec. Ptal 17 Vs 18'!$M$6:$R$6</c:f>
              <c:numCache>
                <c:formatCode>0%</c:formatCode>
                <c:ptCount val="6"/>
                <c:pt idx="0">
                  <c:v>0.21199999999999999</c:v>
                </c:pt>
                <c:pt idx="1">
                  <c:v>0.36759999999999998</c:v>
                </c:pt>
                <c:pt idx="2">
                  <c:v>0.53659999999999997</c:v>
                </c:pt>
                <c:pt idx="3">
                  <c:v>0.63670000000000004</c:v>
                </c:pt>
                <c:pt idx="4">
                  <c:v>0.77059999999999995</c:v>
                </c:pt>
                <c:pt idx="5">
                  <c:v>0.83840000000000003</c:v>
                </c:pt>
              </c:numCache>
            </c:numRef>
          </c:val>
          <c:extLst>
            <c:ext xmlns:c16="http://schemas.microsoft.com/office/drawing/2014/chart" uri="{C3380CC4-5D6E-409C-BE32-E72D297353CC}">
              <c16:uniqueId val="{00000001-14C4-4E30-9B25-0596EE4547CB}"/>
            </c:ext>
          </c:extLst>
        </c:ser>
        <c:dLbls>
          <c:dLblPos val="outEnd"/>
          <c:showLegendKey val="0"/>
          <c:showVal val="1"/>
          <c:showCatName val="0"/>
          <c:showSerName val="0"/>
          <c:showPercent val="0"/>
          <c:showBubbleSize val="0"/>
        </c:dLbls>
        <c:gapWidth val="219"/>
        <c:overlap val="-27"/>
        <c:axId val="400170760"/>
        <c:axId val="400163544"/>
      </c:barChart>
      <c:catAx>
        <c:axId val="400170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s-CO"/>
          </a:p>
        </c:txPr>
        <c:crossAx val="400163544"/>
        <c:crosses val="autoZero"/>
        <c:auto val="1"/>
        <c:lblAlgn val="ctr"/>
        <c:lblOffset val="100"/>
        <c:noMultiLvlLbl val="0"/>
      </c:catAx>
      <c:valAx>
        <c:axId val="4001635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s-CO"/>
          </a:p>
        </c:txPr>
        <c:crossAx val="4001707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r>
              <a:rPr lang="es-CO" b="1">
                <a:solidFill>
                  <a:schemeClr val="tx1"/>
                </a:solidFill>
              </a:rPr>
              <a:t>Pagos</a:t>
            </a:r>
            <a:r>
              <a:rPr lang="es-CO" b="1" baseline="0">
                <a:solidFill>
                  <a:schemeClr val="tx1"/>
                </a:solidFill>
              </a:rPr>
              <a:t> Enero a Junio 2017-2018</a:t>
            </a:r>
            <a:endParaRPr lang="es-CO" b="1">
              <a:solidFill>
                <a:schemeClr val="tx1"/>
              </a:solidFill>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endParaRPr lang="es-CO"/>
        </a:p>
      </c:txPr>
    </c:title>
    <c:autoTitleDeleted val="0"/>
    <c:plotArea>
      <c:layout/>
      <c:barChart>
        <c:barDir val="col"/>
        <c:grouping val="clustered"/>
        <c:varyColors val="0"/>
        <c:ser>
          <c:idx val="0"/>
          <c:order val="0"/>
          <c:tx>
            <c:strRef>
              <c:f>'Comparativo Ejec. Ptal 17 Vs 18'!$L$7</c:f>
              <c:strCache>
                <c:ptCount val="1"/>
                <c:pt idx="0">
                  <c:v>PAGOS 2017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'Comparativo Ejec. Ptal 17 Vs 18'!$M$2:$R$2</c:f>
              <c:strCache>
                <c:ptCount val="6"/>
                <c:pt idx="0">
                  <c:v>ENERO</c:v>
                </c:pt>
                <c:pt idx="1">
                  <c:v>FEBRERO</c:v>
                </c:pt>
                <c:pt idx="2">
                  <c:v>MARZO</c:v>
                </c:pt>
                <c:pt idx="3">
                  <c:v>ABRIL</c:v>
                </c:pt>
                <c:pt idx="4">
                  <c:v>MAYO</c:v>
                </c:pt>
                <c:pt idx="5">
                  <c:v>JUNIO</c:v>
                </c:pt>
              </c:strCache>
            </c:strRef>
          </c:cat>
          <c:val>
            <c:numRef>
              <c:f>'Comparativo Ejec. Ptal 17 Vs 18'!$M$7:$R$7</c:f>
              <c:numCache>
                <c:formatCode>0%</c:formatCode>
                <c:ptCount val="6"/>
                <c:pt idx="0">
                  <c:v>4.5199999999999997E-2</c:v>
                </c:pt>
                <c:pt idx="1">
                  <c:v>0.1038</c:v>
                </c:pt>
                <c:pt idx="2">
                  <c:v>0.29649999999999999</c:v>
                </c:pt>
                <c:pt idx="3">
                  <c:v>0.41039999999999999</c:v>
                </c:pt>
                <c:pt idx="4">
                  <c:v>0.47820000000000001</c:v>
                </c:pt>
                <c:pt idx="5">
                  <c:v>0.57640000000000002</c:v>
                </c:pt>
              </c:numCache>
            </c:numRef>
          </c:val>
          <c:extLst>
            <c:ext xmlns:c16="http://schemas.microsoft.com/office/drawing/2014/chart" uri="{C3380CC4-5D6E-409C-BE32-E72D297353CC}">
              <c16:uniqueId val="{00000000-CBA1-4655-B38B-D298B5C20640}"/>
            </c:ext>
          </c:extLst>
        </c:ser>
        <c:ser>
          <c:idx val="1"/>
          <c:order val="1"/>
          <c:tx>
            <c:strRef>
              <c:f>'Comparativo Ejec. Ptal 17 Vs 18'!$L$8</c:f>
              <c:strCache>
                <c:ptCount val="1"/>
                <c:pt idx="0">
                  <c:v>PAGOS 2018</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'Comparativo Ejec. Ptal 17 Vs 18'!$M$2:$R$2</c:f>
              <c:strCache>
                <c:ptCount val="6"/>
                <c:pt idx="0">
                  <c:v>ENERO</c:v>
                </c:pt>
                <c:pt idx="1">
                  <c:v>FEBRERO</c:v>
                </c:pt>
                <c:pt idx="2">
                  <c:v>MARZO</c:v>
                </c:pt>
                <c:pt idx="3">
                  <c:v>ABRIL</c:v>
                </c:pt>
                <c:pt idx="4">
                  <c:v>MAYO</c:v>
                </c:pt>
                <c:pt idx="5">
                  <c:v>JUNIO</c:v>
                </c:pt>
              </c:strCache>
            </c:strRef>
          </c:cat>
          <c:val>
            <c:numRef>
              <c:f>'Comparativo Ejec. Ptal 17 Vs 18'!$M$8:$R$8</c:f>
              <c:numCache>
                <c:formatCode>0%</c:formatCode>
                <c:ptCount val="6"/>
                <c:pt idx="0">
                  <c:v>0.2122</c:v>
                </c:pt>
                <c:pt idx="1">
                  <c:v>0.36080000000000001</c:v>
                </c:pt>
                <c:pt idx="2">
                  <c:v>0.53559999999999997</c:v>
                </c:pt>
                <c:pt idx="3">
                  <c:v>0.63649999999999995</c:v>
                </c:pt>
                <c:pt idx="4">
                  <c:v>0.77</c:v>
                </c:pt>
                <c:pt idx="5">
                  <c:v>0.83830000000000005</c:v>
                </c:pt>
              </c:numCache>
            </c:numRef>
          </c:val>
          <c:extLst>
            <c:ext xmlns:c16="http://schemas.microsoft.com/office/drawing/2014/chart" uri="{C3380CC4-5D6E-409C-BE32-E72D297353CC}">
              <c16:uniqueId val="{00000001-CBA1-4655-B38B-D298B5C20640}"/>
            </c:ext>
          </c:extLst>
        </c:ser>
        <c:dLbls>
          <c:dLblPos val="outEnd"/>
          <c:showLegendKey val="0"/>
          <c:showVal val="1"/>
          <c:showCatName val="0"/>
          <c:showSerName val="0"/>
          <c:showPercent val="0"/>
          <c:showBubbleSize val="0"/>
        </c:dLbls>
        <c:gapWidth val="219"/>
        <c:overlap val="-27"/>
        <c:axId val="401778328"/>
        <c:axId val="401772752"/>
      </c:barChart>
      <c:catAx>
        <c:axId val="401778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s-CO"/>
          </a:p>
        </c:txPr>
        <c:crossAx val="401772752"/>
        <c:crosses val="autoZero"/>
        <c:auto val="1"/>
        <c:lblAlgn val="ctr"/>
        <c:lblOffset val="100"/>
        <c:noMultiLvlLbl val="0"/>
      </c:catAx>
      <c:valAx>
        <c:axId val="40177275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s-CO"/>
          </a:p>
        </c:txPr>
        <c:crossAx val="4017783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_DattisAzul">
  <a:themeElements>
    <a:clrScheme name="ColoresDattis">
      <a:dk1>
        <a:srgbClr val="00788A"/>
      </a:dk1>
      <a:lt1>
        <a:srgbClr val="FFFFFF"/>
      </a:lt1>
      <a:dk2>
        <a:srgbClr val="00788A"/>
      </a:dk2>
      <a:lt2>
        <a:srgbClr val="FFFFFF"/>
      </a:lt2>
      <a:accent1>
        <a:srgbClr val="404040"/>
      </a:accent1>
      <a:accent2>
        <a:srgbClr val="A5A5A5"/>
      </a:accent2>
      <a:accent3>
        <a:srgbClr val="D8D8D8"/>
      </a:accent3>
      <a:accent4>
        <a:srgbClr val="FFFFFF"/>
      </a:accent4>
      <a:accent5>
        <a:srgbClr val="FFFFFF"/>
      </a:accent5>
      <a:accent6>
        <a:srgbClr val="FFFFFF"/>
      </a:accent6>
      <a:hlink>
        <a:srgbClr val="FFFFFF"/>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1EE23-B933-4E85-83DC-886051610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41</Pages>
  <Words>11978</Words>
  <Characters>65882</Characters>
  <Application>Microsoft Office Word</Application>
  <DocSecurity>0</DocSecurity>
  <Lines>549</Lines>
  <Paragraphs>155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Carlos Arturo Ordonez Castro</dc:creator>
  <cp:keywords>CCE</cp:keywords>
  <cp:lastModifiedBy>Ana Maria Angel Acosta</cp:lastModifiedBy>
  <cp:revision>44</cp:revision>
  <cp:lastPrinted>2017-03-31T22:06:00Z</cp:lastPrinted>
  <dcterms:created xsi:type="dcterms:W3CDTF">2018-11-30T22:13:00Z</dcterms:created>
  <dcterms:modified xsi:type="dcterms:W3CDTF">2018-12-13T20:26:00Z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0x01010095D75E55192E4745A893DD29B7DD91A1</vt:lpwstr>
  </property>
  <property fmtid="{D5CDD505-2E9C-101B-9397-08002B2CF9AE}" pid="3" name="_dlc_policyId">
    <vt:lpwstr/>
  </property>
  <property fmtid="{D5CDD505-2E9C-101B-9397-08002B2CF9AE}" pid="4" name="ItemRetentionFormula">
    <vt:lpwstr/>
  </property>
  <property fmtid="{D5CDD505-2E9C-101B-9397-08002B2CF9AE}" pid="5" name="TaxKeyword">
    <vt:lpwstr>7;#CCE|382ac7dc-42e7-4631-a5aa-ad5fec71d730</vt:lpwstr>
  </property>
</Properties>
</file>