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7938" w:type="dxa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709"/>
        <w:gridCol w:w="567"/>
        <w:gridCol w:w="709"/>
        <w:gridCol w:w="708"/>
        <w:gridCol w:w="709"/>
        <w:gridCol w:w="709"/>
      </w:tblGrid>
      <w:tr w:rsidR="00CB1814" w:rsidRPr="00C71EBB" w:rsidTr="00792591">
        <w:trPr>
          <w:trHeight w:val="226"/>
        </w:trPr>
        <w:tc>
          <w:tcPr>
            <w:tcW w:w="3827" w:type="dxa"/>
            <w:shd w:val="clear" w:color="auto" w:fill="D9D9D9" w:themeFill="background1" w:themeFillShade="D9"/>
            <w:vAlign w:val="center"/>
          </w:tcPr>
          <w:p w:rsidR="00752678" w:rsidRPr="00C71EBB" w:rsidRDefault="00752678" w:rsidP="00B42314">
            <w:pPr>
              <w:spacing w:after="0"/>
              <w:ind w:left="34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highlight w:val="lightGray"/>
                <w:lang w:val="es-ES" w:eastAsia="es-ES"/>
              </w:rPr>
            </w:pPr>
            <w:r w:rsidRPr="00C71EBB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FECHA DE EMISIÓN DEL INFORME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52678" w:rsidRPr="00C71EBB" w:rsidRDefault="00752678" w:rsidP="00752678">
            <w:pPr>
              <w:spacing w:after="0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C71EBB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Día: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2678" w:rsidRPr="00C71EBB" w:rsidRDefault="00DE6A3D" w:rsidP="00C27BC6">
            <w:pPr>
              <w:spacing w:after="0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8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52678" w:rsidRPr="00C71EBB" w:rsidRDefault="00752678" w:rsidP="00752678">
            <w:pPr>
              <w:spacing w:after="0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C71EBB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Mes: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52678" w:rsidRPr="00C71EBB" w:rsidRDefault="005921D1" w:rsidP="00752678">
            <w:pPr>
              <w:spacing w:after="0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0</w:t>
            </w:r>
            <w:r w:rsidR="00DE6A3D"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6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52678" w:rsidRPr="00C71EBB" w:rsidRDefault="00752678" w:rsidP="00752678">
            <w:pPr>
              <w:spacing w:after="0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C71EBB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Año: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2678" w:rsidRPr="00C71EBB" w:rsidRDefault="005921D1" w:rsidP="00752678">
            <w:pPr>
              <w:spacing w:after="0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201</w:t>
            </w:r>
            <w:r w:rsidR="00FC6FBB"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7</w:t>
            </w:r>
          </w:p>
        </w:tc>
      </w:tr>
    </w:tbl>
    <w:p w:rsidR="00DD2063" w:rsidRDefault="00DD2063" w:rsidP="00E619FD">
      <w:pPr>
        <w:spacing w:after="0"/>
        <w:rPr>
          <w:rFonts w:ascii="Arial Narrow" w:hAnsi="Arial Narrow"/>
          <w:b/>
        </w:rPr>
      </w:pPr>
    </w:p>
    <w:tbl>
      <w:tblPr>
        <w:tblW w:w="10632" w:type="dxa"/>
        <w:tblInd w:w="-57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1E0" w:firstRow="1" w:lastRow="1" w:firstColumn="1" w:lastColumn="1" w:noHBand="0" w:noVBand="0"/>
      </w:tblPr>
      <w:tblGrid>
        <w:gridCol w:w="3427"/>
        <w:gridCol w:w="7205"/>
      </w:tblGrid>
      <w:tr w:rsidR="007C14BE" w:rsidRPr="00D17C3A" w:rsidTr="00616FB2">
        <w:trPr>
          <w:trHeight w:val="268"/>
        </w:trPr>
        <w:tc>
          <w:tcPr>
            <w:tcW w:w="3427" w:type="dxa"/>
            <w:shd w:val="clear" w:color="auto" w:fill="E0E0E0"/>
          </w:tcPr>
          <w:p w:rsidR="007C14BE" w:rsidRPr="00D17C3A" w:rsidRDefault="007C14BE" w:rsidP="00E112D4">
            <w:pPr>
              <w:spacing w:after="0"/>
              <w:jc w:val="both"/>
              <w:rPr>
                <w:rFonts w:ascii="Arial" w:eastAsia="SimSun" w:hAnsi="Arial" w:cs="Arial"/>
                <w:b/>
                <w:sz w:val="20"/>
                <w:szCs w:val="20"/>
              </w:rPr>
            </w:pPr>
            <w:r>
              <w:rPr>
                <w:rFonts w:ascii="Arial" w:eastAsia="SimSun" w:hAnsi="Arial" w:cs="Arial"/>
                <w:b/>
                <w:sz w:val="20"/>
                <w:szCs w:val="20"/>
              </w:rPr>
              <w:t>Número de Informe</w:t>
            </w:r>
          </w:p>
        </w:tc>
        <w:tc>
          <w:tcPr>
            <w:tcW w:w="7205" w:type="dxa"/>
            <w:shd w:val="clear" w:color="auto" w:fill="auto"/>
          </w:tcPr>
          <w:p w:rsidR="007C14BE" w:rsidRPr="00024EA2" w:rsidRDefault="00175CF2" w:rsidP="004F3EE5">
            <w:pPr>
              <w:spacing w:after="0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ANP1</w:t>
            </w:r>
          </w:p>
        </w:tc>
      </w:tr>
      <w:tr w:rsidR="005921D1" w:rsidRPr="00BC309A" w:rsidTr="00430BB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0"/>
        </w:trPr>
        <w:tc>
          <w:tcPr>
            <w:tcW w:w="3427" w:type="dxa"/>
            <w:shd w:val="clear" w:color="auto" w:fill="E0E0E0"/>
          </w:tcPr>
          <w:p w:rsidR="005921D1" w:rsidRDefault="005921D1" w:rsidP="005921D1">
            <w:pPr>
              <w:spacing w:after="0"/>
              <w:rPr>
                <w:rFonts w:ascii="Arial" w:eastAsia="PMingLiU" w:hAnsi="Arial" w:cs="Arial"/>
                <w:b/>
                <w:bCs/>
                <w:sz w:val="20"/>
                <w:szCs w:val="20"/>
              </w:rPr>
            </w:pPr>
            <w:r w:rsidRPr="00E112D4">
              <w:rPr>
                <w:rFonts w:ascii="Arial" w:eastAsia="SimSun" w:hAnsi="Arial" w:cs="Arial"/>
                <w:b/>
                <w:sz w:val="20"/>
                <w:szCs w:val="20"/>
              </w:rPr>
              <w:t>Nombre del Seguimiento</w:t>
            </w:r>
          </w:p>
        </w:tc>
        <w:tc>
          <w:tcPr>
            <w:tcW w:w="7205" w:type="dxa"/>
          </w:tcPr>
          <w:p w:rsidR="005921D1" w:rsidRPr="00E618FD" w:rsidRDefault="005921D1" w:rsidP="00DD1EB6">
            <w:pPr>
              <w:spacing w:after="0"/>
              <w:jc w:val="both"/>
              <w:rPr>
                <w:rFonts w:ascii="Arial Narrow" w:eastAsia="PMingLiU" w:hAnsi="Arial Narrow" w:cs="Arial"/>
                <w:b/>
                <w:bCs/>
                <w:sz w:val="22"/>
                <w:szCs w:val="22"/>
              </w:rPr>
            </w:pPr>
            <w:r w:rsidRPr="00E618FD">
              <w:rPr>
                <w:rFonts w:ascii="Arial Narrow" w:eastAsia="PMingLiU" w:hAnsi="Arial Narrow" w:cs="Arial"/>
                <w:b/>
                <w:bCs/>
                <w:sz w:val="22"/>
                <w:szCs w:val="22"/>
              </w:rPr>
              <w:t>INFORME DE SEGUIMIENTO A LA EJECUCIÓN PRESUPUESTAL DE LA UNIDAD PARA LA ATENCIÓN Y REPARACIÓN INTEGRAL A LAS VICTIMAS A 31 DE</w:t>
            </w:r>
            <w:r w:rsidR="00DE6A3D">
              <w:rPr>
                <w:rFonts w:ascii="Arial Narrow" w:eastAsia="PMingLiU" w:hAnsi="Arial Narrow" w:cs="Arial"/>
                <w:b/>
                <w:bCs/>
                <w:sz w:val="22"/>
                <w:szCs w:val="22"/>
              </w:rPr>
              <w:t xml:space="preserve"> MAYO DE 2017</w:t>
            </w:r>
          </w:p>
        </w:tc>
      </w:tr>
      <w:tr w:rsidR="005921D1" w:rsidRPr="00BC309A" w:rsidTr="00430BB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0"/>
        </w:trPr>
        <w:tc>
          <w:tcPr>
            <w:tcW w:w="3427" w:type="dxa"/>
            <w:shd w:val="clear" w:color="auto" w:fill="E0E0E0"/>
          </w:tcPr>
          <w:p w:rsidR="005921D1" w:rsidRPr="00BC309A" w:rsidRDefault="005921D1" w:rsidP="005921D1">
            <w:pPr>
              <w:spacing w:after="0"/>
              <w:rPr>
                <w:rFonts w:ascii="Arial" w:eastAsia="PMingLiU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PMingLiU" w:hAnsi="Arial" w:cs="Arial"/>
                <w:b/>
                <w:bCs/>
                <w:sz w:val="20"/>
                <w:szCs w:val="20"/>
              </w:rPr>
              <w:t>Objetivo del Seguimiento</w:t>
            </w:r>
          </w:p>
        </w:tc>
        <w:tc>
          <w:tcPr>
            <w:tcW w:w="7205" w:type="dxa"/>
          </w:tcPr>
          <w:p w:rsidR="005921D1" w:rsidRPr="00E618FD" w:rsidRDefault="005921D1" w:rsidP="005921D1">
            <w:pPr>
              <w:spacing w:after="0"/>
              <w:jc w:val="both"/>
              <w:rPr>
                <w:rFonts w:ascii="Arial Narrow" w:eastAsia="PMingLiU" w:hAnsi="Arial Narrow" w:cs="Arial"/>
                <w:bCs/>
                <w:sz w:val="22"/>
                <w:szCs w:val="22"/>
              </w:rPr>
            </w:pPr>
            <w:r>
              <w:rPr>
                <w:rFonts w:ascii="Arial Narrow" w:eastAsia="PMingLiU" w:hAnsi="Arial Narrow" w:cs="Arial"/>
                <w:bCs/>
                <w:sz w:val="22"/>
                <w:szCs w:val="22"/>
              </w:rPr>
              <w:t>Analizar el desarrollo de la e</w:t>
            </w:r>
            <w:r w:rsidRPr="00E618FD">
              <w:rPr>
                <w:rFonts w:ascii="Arial Narrow" w:eastAsia="PMingLiU" w:hAnsi="Arial Narrow" w:cs="Arial"/>
                <w:bCs/>
                <w:sz w:val="22"/>
                <w:szCs w:val="22"/>
              </w:rPr>
              <w:t>jecución presupuestal de la Unidad para la Atención y Reparación Integral a las Victimas</w:t>
            </w:r>
            <w:r>
              <w:rPr>
                <w:rFonts w:ascii="Arial Narrow" w:eastAsia="PMingLiU" w:hAnsi="Arial Narrow" w:cs="Arial"/>
                <w:bCs/>
                <w:sz w:val="22"/>
                <w:szCs w:val="22"/>
              </w:rPr>
              <w:t xml:space="preserve"> y realizar las recomendaciones pertinentes.</w:t>
            </w:r>
          </w:p>
        </w:tc>
      </w:tr>
      <w:tr w:rsidR="005921D1" w:rsidRPr="00BC309A" w:rsidTr="00430BB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0"/>
        </w:trPr>
        <w:tc>
          <w:tcPr>
            <w:tcW w:w="3427" w:type="dxa"/>
            <w:shd w:val="clear" w:color="auto" w:fill="E0E0E0"/>
          </w:tcPr>
          <w:p w:rsidR="005921D1" w:rsidRDefault="005921D1" w:rsidP="005921D1">
            <w:pPr>
              <w:spacing w:after="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Alcance del Seguimiento</w:t>
            </w:r>
          </w:p>
        </w:tc>
        <w:tc>
          <w:tcPr>
            <w:tcW w:w="7205" w:type="dxa"/>
          </w:tcPr>
          <w:p w:rsidR="005921D1" w:rsidRPr="00E618FD" w:rsidRDefault="005921D1" w:rsidP="005921D1">
            <w:pPr>
              <w:spacing w:after="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E618FD">
              <w:rPr>
                <w:rFonts w:ascii="Arial Narrow" w:hAnsi="Arial Narrow" w:cs="Arial"/>
                <w:sz w:val="22"/>
                <w:szCs w:val="22"/>
              </w:rPr>
              <w:t>El análisis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se efectuó a la información de ejecución presupuestal </w:t>
            </w:r>
            <w:r w:rsidR="00FC6FBB">
              <w:rPr>
                <w:rFonts w:ascii="Arial Narrow" w:hAnsi="Arial Narrow" w:cs="Arial"/>
                <w:sz w:val="22"/>
                <w:szCs w:val="22"/>
              </w:rPr>
              <w:t xml:space="preserve">para el período comprendido entre </w:t>
            </w:r>
            <w:r w:rsidR="004414E8">
              <w:rPr>
                <w:rFonts w:ascii="Arial Narrow" w:hAnsi="Arial Narrow" w:cs="Arial"/>
                <w:sz w:val="22"/>
                <w:szCs w:val="22"/>
              </w:rPr>
              <w:t xml:space="preserve">el 01 </w:t>
            </w:r>
            <w:r w:rsidR="00445698">
              <w:rPr>
                <w:rFonts w:ascii="Arial Narrow" w:hAnsi="Arial Narrow" w:cs="Arial"/>
                <w:sz w:val="22"/>
                <w:szCs w:val="22"/>
              </w:rPr>
              <w:t xml:space="preserve">de </w:t>
            </w:r>
            <w:r>
              <w:rPr>
                <w:rFonts w:ascii="Arial Narrow" w:hAnsi="Arial Narrow" w:cs="Arial"/>
                <w:sz w:val="22"/>
                <w:szCs w:val="22"/>
              </w:rPr>
              <w:t>enero</w:t>
            </w:r>
            <w:r w:rsidR="00FC6FBB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4414E8">
              <w:rPr>
                <w:rFonts w:ascii="Arial Narrow" w:hAnsi="Arial Narrow" w:cs="Arial"/>
                <w:sz w:val="22"/>
                <w:szCs w:val="22"/>
              </w:rPr>
              <w:t xml:space="preserve">y el 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31 de </w:t>
            </w:r>
            <w:r w:rsidR="00DE6A3D">
              <w:rPr>
                <w:rFonts w:ascii="Arial Narrow" w:hAnsi="Arial Narrow" w:cs="Arial"/>
                <w:sz w:val="22"/>
                <w:szCs w:val="22"/>
              </w:rPr>
              <w:t>MAYO DE 2017</w:t>
            </w:r>
            <w:r>
              <w:rPr>
                <w:rFonts w:ascii="Arial Narrow" w:hAnsi="Arial Narrow" w:cs="Arial"/>
                <w:sz w:val="22"/>
                <w:szCs w:val="22"/>
              </w:rPr>
              <w:t>, en lo rela</w:t>
            </w:r>
            <w:r w:rsidRPr="00E618FD">
              <w:rPr>
                <w:rFonts w:ascii="Arial Narrow" w:eastAsia="PMingLiU" w:hAnsi="Arial Narrow" w:cs="Arial"/>
                <w:bCs/>
                <w:sz w:val="22"/>
                <w:szCs w:val="22"/>
              </w:rPr>
              <w:t>cionado con recursos de la</w:t>
            </w:r>
            <w:r>
              <w:rPr>
                <w:rFonts w:ascii="Arial Narrow" w:eastAsia="PMingLiU" w:hAnsi="Arial Narrow" w:cs="Arial"/>
                <w:bCs/>
                <w:sz w:val="22"/>
                <w:szCs w:val="22"/>
              </w:rPr>
              <w:t xml:space="preserve"> vigencia y rezago presupuestal, </w:t>
            </w:r>
            <w:r w:rsidRPr="003B7D00">
              <w:rPr>
                <w:rFonts w:ascii="Arial Narrow" w:eastAsia="PMingLiU" w:hAnsi="Arial Narrow" w:cs="Arial"/>
                <w:bCs/>
                <w:sz w:val="22"/>
                <w:szCs w:val="22"/>
              </w:rPr>
              <w:t xml:space="preserve">basado en la </w:t>
            </w:r>
            <w:r w:rsidRPr="003B7D00">
              <w:rPr>
                <w:rFonts w:ascii="Arial Narrow" w:hAnsi="Arial Narrow" w:cs="Arial"/>
                <w:sz w:val="22"/>
                <w:szCs w:val="22"/>
              </w:rPr>
              <w:t>información generada por el área de Presupuesto del Grupo de Gestión Financiera de la Unidad.</w:t>
            </w:r>
          </w:p>
          <w:p w:rsidR="005921D1" w:rsidRPr="00E618FD" w:rsidRDefault="005921D1" w:rsidP="005921D1">
            <w:pPr>
              <w:spacing w:after="0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921D1" w:rsidRPr="00BC309A" w:rsidTr="00430BB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"/>
        </w:trPr>
        <w:tc>
          <w:tcPr>
            <w:tcW w:w="3427" w:type="dxa"/>
            <w:shd w:val="clear" w:color="auto" w:fill="E0E0E0"/>
          </w:tcPr>
          <w:p w:rsidR="005921D1" w:rsidRDefault="005921D1" w:rsidP="005921D1">
            <w:pPr>
              <w:spacing w:after="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Normatividad </w:t>
            </w:r>
          </w:p>
        </w:tc>
        <w:tc>
          <w:tcPr>
            <w:tcW w:w="7205" w:type="dxa"/>
          </w:tcPr>
          <w:p w:rsidR="005921D1" w:rsidRPr="003B69A6" w:rsidRDefault="005921D1" w:rsidP="005921D1">
            <w:pPr>
              <w:pStyle w:val="Prrafodelista"/>
              <w:numPr>
                <w:ilvl w:val="0"/>
                <w:numId w:val="22"/>
              </w:numPr>
              <w:spacing w:after="0"/>
              <w:ind w:left="444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3B69A6">
              <w:rPr>
                <w:rFonts w:ascii="Arial Narrow" w:hAnsi="Arial Narrow" w:cs="Arial"/>
                <w:sz w:val="22"/>
                <w:szCs w:val="22"/>
              </w:rPr>
              <w:t>Decreto 111 de 1996 Estatuto Orgánico de Presupuesto.</w:t>
            </w:r>
          </w:p>
          <w:p w:rsidR="005921D1" w:rsidRPr="00DE6A3D" w:rsidRDefault="00DE6A3D" w:rsidP="00DE6A3D">
            <w:pPr>
              <w:pStyle w:val="Prrafodelista"/>
              <w:numPr>
                <w:ilvl w:val="0"/>
                <w:numId w:val="22"/>
              </w:numPr>
              <w:spacing w:after="0"/>
              <w:ind w:left="444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Decreto 2170</w:t>
            </w:r>
            <w:r w:rsidR="003B69A6" w:rsidRPr="003B69A6">
              <w:rPr>
                <w:rFonts w:ascii="Arial Narrow" w:hAnsi="Arial Narrow" w:cs="Arial"/>
                <w:sz w:val="22"/>
                <w:szCs w:val="22"/>
              </w:rPr>
              <w:t xml:space="preserve"> de </w:t>
            </w:r>
            <w:r w:rsidR="004414E8">
              <w:rPr>
                <w:rFonts w:ascii="Arial Narrow" w:hAnsi="Arial Narrow" w:cs="Arial"/>
                <w:sz w:val="22"/>
                <w:szCs w:val="22"/>
              </w:rPr>
              <w:t xml:space="preserve">diciembre </w:t>
            </w:r>
            <w:r>
              <w:rPr>
                <w:rFonts w:ascii="Arial Narrow" w:hAnsi="Arial Narrow" w:cs="Arial"/>
                <w:sz w:val="22"/>
                <w:szCs w:val="22"/>
              </w:rPr>
              <w:t>27</w:t>
            </w:r>
            <w:r w:rsidR="004414E8">
              <w:rPr>
                <w:rFonts w:ascii="Arial Narrow" w:hAnsi="Arial Narrow" w:cs="Arial"/>
                <w:sz w:val="22"/>
                <w:szCs w:val="22"/>
              </w:rPr>
              <w:t xml:space="preserve"> de </w:t>
            </w:r>
            <w:r>
              <w:rPr>
                <w:rFonts w:ascii="Arial Narrow" w:hAnsi="Arial Narrow" w:cs="Arial"/>
                <w:sz w:val="22"/>
                <w:szCs w:val="22"/>
              </w:rPr>
              <w:t>2016</w:t>
            </w:r>
            <w:r w:rsidR="005921D1" w:rsidRPr="003B69A6">
              <w:rPr>
                <w:rFonts w:ascii="Arial Narrow" w:hAnsi="Arial Narrow" w:cs="Arial"/>
                <w:sz w:val="22"/>
                <w:szCs w:val="22"/>
              </w:rPr>
              <w:t xml:space="preserve"> “Por el cual se liquida el Presupuesto General de la Nac</w:t>
            </w:r>
            <w:r>
              <w:rPr>
                <w:rFonts w:ascii="Arial Narrow" w:hAnsi="Arial Narrow" w:cs="Arial"/>
                <w:sz w:val="22"/>
                <w:szCs w:val="22"/>
              </w:rPr>
              <w:t>ión para la vigencia fiscal 2017</w:t>
            </w:r>
            <w:r w:rsidR="005921D1" w:rsidRPr="00DE6A3D">
              <w:rPr>
                <w:rFonts w:ascii="Arial Narrow" w:hAnsi="Arial Narrow" w:cs="Arial"/>
                <w:sz w:val="22"/>
                <w:szCs w:val="22"/>
              </w:rPr>
              <w:t>”.</w:t>
            </w:r>
          </w:p>
          <w:p w:rsidR="005921D1" w:rsidRPr="003B69A6" w:rsidRDefault="005921D1" w:rsidP="005921D1">
            <w:pPr>
              <w:pStyle w:val="Prrafodelista"/>
              <w:numPr>
                <w:ilvl w:val="0"/>
                <w:numId w:val="22"/>
              </w:numPr>
              <w:spacing w:after="0"/>
              <w:ind w:left="444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3B69A6">
              <w:rPr>
                <w:rFonts w:ascii="Arial Narrow" w:hAnsi="Arial Narrow" w:cs="Arial"/>
                <w:sz w:val="22"/>
                <w:szCs w:val="22"/>
              </w:rPr>
              <w:t>Decreto 4836 de 2011 “Por el cual se reglamentan normas orgánicas del presupuesto.</w:t>
            </w:r>
          </w:p>
          <w:p w:rsidR="005921D1" w:rsidRPr="00E618FD" w:rsidRDefault="005921D1" w:rsidP="005921D1">
            <w:pPr>
              <w:pStyle w:val="Prrafodelista"/>
              <w:spacing w:after="0"/>
              <w:ind w:left="444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:rsidR="00DD2063" w:rsidRDefault="00DD2063" w:rsidP="00DD2063">
      <w:pPr>
        <w:spacing w:after="0"/>
        <w:rPr>
          <w:rFonts w:ascii="Arial Narrow" w:hAnsi="Arial Narrow"/>
          <w:b/>
        </w:rPr>
      </w:pPr>
    </w:p>
    <w:tbl>
      <w:tblPr>
        <w:tblW w:w="10632" w:type="dxa"/>
        <w:tblInd w:w="-57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1E0" w:firstRow="1" w:lastRow="1" w:firstColumn="1" w:lastColumn="1" w:noHBand="0" w:noVBand="0"/>
      </w:tblPr>
      <w:tblGrid>
        <w:gridCol w:w="10632"/>
      </w:tblGrid>
      <w:tr w:rsidR="00DD2063" w:rsidRPr="006369FA" w:rsidTr="0081049E">
        <w:tc>
          <w:tcPr>
            <w:tcW w:w="10632" w:type="dxa"/>
            <w:shd w:val="clear" w:color="auto" w:fill="D9D9D9"/>
          </w:tcPr>
          <w:p w:rsidR="00DD2063" w:rsidRPr="006369FA" w:rsidRDefault="004F3EE5" w:rsidP="0010329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="00DD2063" w:rsidRPr="006369FA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103297">
              <w:rPr>
                <w:rFonts w:ascii="Arial" w:hAnsi="Arial" w:cs="Arial"/>
                <w:b/>
                <w:sz w:val="20"/>
                <w:szCs w:val="20"/>
              </w:rPr>
              <w:t>Análisis y Observaciones</w:t>
            </w:r>
          </w:p>
        </w:tc>
      </w:tr>
      <w:tr w:rsidR="00FA0B64" w:rsidRPr="006369FA" w:rsidTr="00ED7334">
        <w:tblPrEx>
          <w:tblCellMar>
            <w:left w:w="70" w:type="dxa"/>
            <w:right w:w="70" w:type="dxa"/>
          </w:tblCellMar>
        </w:tblPrEx>
        <w:tc>
          <w:tcPr>
            <w:tcW w:w="10632" w:type="dxa"/>
            <w:shd w:val="clear" w:color="auto" w:fill="auto"/>
          </w:tcPr>
          <w:p w:rsidR="00B77208" w:rsidRPr="00E618FD" w:rsidRDefault="00B77208" w:rsidP="00FA0B64">
            <w:pPr>
              <w:rPr>
                <w:rFonts w:ascii="Arial Narrow" w:eastAsia="PMingLiU" w:hAnsi="Arial Narrow" w:cs="Arial"/>
                <w:bCs/>
                <w:sz w:val="22"/>
                <w:szCs w:val="22"/>
              </w:rPr>
            </w:pPr>
          </w:p>
          <w:p w:rsidR="00FA0B64" w:rsidRPr="00B126D9" w:rsidRDefault="00FA0B64" w:rsidP="00B126D9">
            <w:pPr>
              <w:pStyle w:val="Prrafodelista"/>
              <w:numPr>
                <w:ilvl w:val="0"/>
                <w:numId w:val="43"/>
              </w:numPr>
              <w:spacing w:after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B126D9">
              <w:rPr>
                <w:rFonts w:ascii="Arial Narrow" w:hAnsi="Arial Narrow" w:cs="Arial"/>
                <w:b/>
                <w:sz w:val="22"/>
                <w:szCs w:val="22"/>
              </w:rPr>
              <w:t>PRESUPUESTO VIGENTE</w:t>
            </w:r>
            <w:r w:rsidR="00B77208" w:rsidRPr="00B126D9">
              <w:rPr>
                <w:rFonts w:ascii="Arial Narrow" w:hAnsi="Arial Narrow" w:cs="Arial"/>
                <w:b/>
                <w:sz w:val="22"/>
                <w:szCs w:val="22"/>
              </w:rPr>
              <w:t>:</w:t>
            </w:r>
          </w:p>
          <w:p w:rsidR="00FA0B64" w:rsidRDefault="00FA0B64" w:rsidP="00FA0B64">
            <w:pPr>
              <w:spacing w:after="0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B77208" w:rsidRPr="00E618FD" w:rsidRDefault="00B77208" w:rsidP="00FA0B64">
            <w:pPr>
              <w:spacing w:after="0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FA0B64" w:rsidRPr="00B126D9" w:rsidRDefault="00FA0B64" w:rsidP="00FA0B64">
            <w:pPr>
              <w:jc w:val="both"/>
              <w:rPr>
                <w:rFonts w:ascii="Arial Narrow" w:hAnsi="Arial Narrow" w:cs="Arial"/>
                <w:b/>
              </w:rPr>
            </w:pPr>
            <w:r w:rsidRPr="00B126D9">
              <w:rPr>
                <w:rFonts w:ascii="Arial Narrow" w:hAnsi="Arial Narrow" w:cs="Arial"/>
              </w:rPr>
              <w:t xml:space="preserve">De acuerdo </w:t>
            </w:r>
            <w:r w:rsidR="003B69A6" w:rsidRPr="00B126D9">
              <w:rPr>
                <w:rFonts w:ascii="Arial Narrow" w:hAnsi="Arial Narrow" w:cs="Arial"/>
              </w:rPr>
              <w:t xml:space="preserve">con el Decreto </w:t>
            </w:r>
            <w:r w:rsidR="00100AF3" w:rsidRPr="00B126D9">
              <w:rPr>
                <w:rFonts w:ascii="Arial Narrow" w:hAnsi="Arial Narrow" w:cs="Arial"/>
              </w:rPr>
              <w:t>2170 de diciembre 27 de 2016</w:t>
            </w:r>
            <w:r w:rsidRPr="00B126D9">
              <w:rPr>
                <w:rFonts w:ascii="Arial Narrow" w:hAnsi="Arial Narrow" w:cs="Arial"/>
              </w:rPr>
              <w:t>, por el cual se liquida el Presupuesto General de</w:t>
            </w:r>
            <w:r w:rsidR="00A51C20">
              <w:rPr>
                <w:rFonts w:ascii="Arial Narrow" w:hAnsi="Arial Narrow" w:cs="Arial"/>
              </w:rPr>
              <w:t xml:space="preserve"> la Nación para la vigencia 2017</w:t>
            </w:r>
            <w:r w:rsidRPr="00B126D9">
              <w:rPr>
                <w:rFonts w:ascii="Arial Narrow" w:hAnsi="Arial Narrow" w:cs="Arial"/>
              </w:rPr>
              <w:t>, la apropiación inicial correspondiente a la Unidad para</w:t>
            </w:r>
            <w:r w:rsidR="002D19C8">
              <w:rPr>
                <w:rFonts w:ascii="Arial Narrow" w:hAnsi="Arial Narrow" w:cs="Arial"/>
              </w:rPr>
              <w:t xml:space="preserve"> la Reparación Integral a las Ví</w:t>
            </w:r>
            <w:r w:rsidRPr="00B126D9">
              <w:rPr>
                <w:rFonts w:ascii="Arial Narrow" w:hAnsi="Arial Narrow" w:cs="Arial"/>
              </w:rPr>
              <w:t xml:space="preserve">ctimas es de </w:t>
            </w:r>
            <w:r w:rsidRPr="00B126D9">
              <w:rPr>
                <w:rFonts w:ascii="Arial Narrow" w:hAnsi="Arial Narrow" w:cs="Arial"/>
                <w:b/>
              </w:rPr>
              <w:t>$</w:t>
            </w:r>
            <w:r w:rsidR="00100AF3" w:rsidRPr="00B126D9">
              <w:rPr>
                <w:rFonts w:ascii="Arial" w:hAnsi="Arial" w:cs="Arial"/>
                <w:b/>
                <w:bCs/>
              </w:rPr>
              <w:t xml:space="preserve">1.756.980.221.953,00 </w:t>
            </w:r>
            <w:r w:rsidRPr="00B126D9">
              <w:rPr>
                <w:rFonts w:ascii="Arial Narrow" w:hAnsi="Arial Narrow" w:cs="Arial"/>
              </w:rPr>
              <w:t xml:space="preserve">distribuidos así: </w:t>
            </w:r>
          </w:p>
          <w:p w:rsidR="00FA0B64" w:rsidRPr="00B126D9" w:rsidRDefault="004414E8" w:rsidP="00501B01">
            <w:pPr>
              <w:pStyle w:val="Prrafodelista"/>
              <w:numPr>
                <w:ilvl w:val="0"/>
                <w:numId w:val="23"/>
              </w:numPr>
              <w:spacing w:after="0"/>
              <w:ind w:left="639"/>
              <w:jc w:val="both"/>
              <w:rPr>
                <w:rFonts w:ascii="Arial Narrow" w:hAnsi="Arial Narrow" w:cs="Arial"/>
              </w:rPr>
            </w:pPr>
            <w:r w:rsidRPr="00B126D9">
              <w:rPr>
                <w:rFonts w:ascii="Arial Narrow" w:hAnsi="Arial Narrow" w:cs="Arial"/>
                <w:b/>
              </w:rPr>
              <w:t>Presupuesto de F</w:t>
            </w:r>
            <w:r w:rsidR="00FA0B64" w:rsidRPr="00B126D9">
              <w:rPr>
                <w:rFonts w:ascii="Arial Narrow" w:hAnsi="Arial Narrow" w:cs="Arial"/>
                <w:b/>
              </w:rPr>
              <w:t>uncionamiento</w:t>
            </w:r>
            <w:r w:rsidRPr="00B126D9">
              <w:rPr>
                <w:rFonts w:ascii="Arial Narrow" w:hAnsi="Arial Narrow" w:cs="Arial"/>
                <w:b/>
              </w:rPr>
              <w:t xml:space="preserve">: </w:t>
            </w:r>
            <w:r w:rsidR="00501B01" w:rsidRPr="00B126D9">
              <w:rPr>
                <w:rFonts w:ascii="Arial" w:hAnsi="Arial" w:cs="Arial"/>
                <w:b/>
                <w:bCs/>
              </w:rPr>
              <w:t xml:space="preserve"> $</w:t>
            </w:r>
            <w:r w:rsidR="00501B01" w:rsidRPr="00B126D9">
              <w:rPr>
                <w:rFonts w:ascii="Arial" w:hAnsi="Arial" w:cs="Arial"/>
                <w:bCs/>
              </w:rPr>
              <w:t xml:space="preserve">594.512.066.667,00 </w:t>
            </w:r>
          </w:p>
          <w:p w:rsidR="00501B01" w:rsidRPr="00B126D9" w:rsidRDefault="00501B01" w:rsidP="00501B01">
            <w:pPr>
              <w:pStyle w:val="Prrafodelista"/>
              <w:spacing w:after="0"/>
              <w:ind w:left="639"/>
              <w:jc w:val="both"/>
              <w:rPr>
                <w:rFonts w:ascii="Arial Narrow" w:hAnsi="Arial Narrow" w:cs="Arial"/>
              </w:rPr>
            </w:pPr>
          </w:p>
          <w:p w:rsidR="00501B01" w:rsidRPr="00B126D9" w:rsidRDefault="00FA0B64" w:rsidP="00501B01">
            <w:pPr>
              <w:pStyle w:val="Prrafodelista"/>
              <w:numPr>
                <w:ilvl w:val="0"/>
                <w:numId w:val="23"/>
              </w:numPr>
              <w:spacing w:after="0"/>
              <w:ind w:left="639" w:right="567"/>
              <w:jc w:val="both"/>
              <w:rPr>
                <w:rFonts w:ascii="Calibri" w:hAnsi="Calibri"/>
                <w:b/>
                <w:bCs/>
                <w:lang w:val="es-CO" w:eastAsia="es-CO"/>
              </w:rPr>
            </w:pPr>
            <w:r w:rsidRPr="00B126D9">
              <w:rPr>
                <w:rFonts w:ascii="Arial Narrow" w:hAnsi="Arial Narrow" w:cs="Arial"/>
                <w:b/>
              </w:rPr>
              <w:t>Presupuesto de Inversión</w:t>
            </w:r>
            <w:r w:rsidR="004414E8" w:rsidRPr="00B126D9">
              <w:rPr>
                <w:rFonts w:ascii="Arial Narrow" w:hAnsi="Arial Narrow" w:cs="Arial"/>
                <w:b/>
              </w:rPr>
              <w:t>:</w:t>
            </w:r>
            <w:r w:rsidR="00501B01" w:rsidRPr="00B126D9">
              <w:rPr>
                <w:rFonts w:ascii="Arial Narrow" w:hAnsi="Arial Narrow" w:cs="Arial"/>
                <w:b/>
              </w:rPr>
              <w:t xml:space="preserve"> $</w:t>
            </w:r>
            <w:r w:rsidR="00501B01" w:rsidRPr="00B126D9">
              <w:rPr>
                <w:rFonts w:ascii="Arial" w:hAnsi="Arial" w:cs="Arial"/>
              </w:rPr>
              <w:t xml:space="preserve">1.162.468.155.286,00 </w:t>
            </w:r>
          </w:p>
          <w:p w:rsidR="00B126D9" w:rsidRDefault="00B126D9" w:rsidP="00501B0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:rsidR="00501B01" w:rsidRPr="00B126D9" w:rsidRDefault="00501B01" w:rsidP="00B126D9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B126D9">
              <w:rPr>
                <w:rFonts w:ascii="Arial Narrow" w:hAnsi="Arial Narrow" w:cs="Arial"/>
                <w:b/>
                <w:sz w:val="22"/>
                <w:szCs w:val="22"/>
              </w:rPr>
              <w:t>GESTIÓN DEL MONT</w:t>
            </w:r>
            <w:r w:rsidR="00B77208" w:rsidRPr="00B126D9">
              <w:rPr>
                <w:rFonts w:ascii="Arial Narrow" w:hAnsi="Arial Narrow" w:cs="Arial"/>
                <w:b/>
                <w:sz w:val="22"/>
                <w:szCs w:val="22"/>
              </w:rPr>
              <w:t>O TOTAL VIGENTE DEL PRESUPUESTO:</w:t>
            </w:r>
          </w:p>
          <w:p w:rsidR="00501B01" w:rsidRPr="00B126D9" w:rsidRDefault="00CF2A0E" w:rsidP="00501B01">
            <w:pPr>
              <w:jc w:val="both"/>
              <w:rPr>
                <w:rFonts w:ascii="Arial Narrow" w:hAnsi="Arial Narrow" w:cs="Arial"/>
              </w:rPr>
            </w:pPr>
            <w:r w:rsidRPr="00B126D9">
              <w:rPr>
                <w:noProof/>
                <w:lang w:val="es-ES" w:eastAsia="es-ES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7C1FC57E" wp14:editId="69E86556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448945</wp:posOffset>
                  </wp:positionV>
                  <wp:extent cx="6696000" cy="1129723"/>
                  <wp:effectExtent l="0" t="0" r="0" b="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6000" cy="1129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1B01" w:rsidRPr="00B126D9">
              <w:rPr>
                <w:rFonts w:ascii="Arial Narrow" w:hAnsi="Arial Narrow" w:cs="Arial"/>
              </w:rPr>
              <w:t xml:space="preserve">De acuerdo con la información generada por el Grupo de Gestión Financiera, la ejecución del presupuesto a 31 de mayo de 2017, revela lo siguiente:  </w:t>
            </w:r>
          </w:p>
          <w:p w:rsidR="00CF2A0E" w:rsidRDefault="00CF2A0E" w:rsidP="00501B0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:rsidR="00ED7334" w:rsidRPr="00B126D9" w:rsidRDefault="00ED7334" w:rsidP="00501B01">
            <w:pPr>
              <w:jc w:val="both"/>
              <w:rPr>
                <w:rFonts w:ascii="Arial Narrow" w:hAnsi="Arial Narrow" w:cs="Arial"/>
              </w:rPr>
            </w:pPr>
            <w:r w:rsidRPr="00B126D9">
              <w:rPr>
                <w:rFonts w:ascii="Arial Narrow" w:hAnsi="Arial Narrow" w:cs="Arial"/>
              </w:rPr>
              <w:t>Los Indicadores Presupuestales a 31 de mayo muestran el siguiente comportamiento:</w:t>
            </w:r>
          </w:p>
          <w:p w:rsidR="00ED7334" w:rsidRDefault="00ED7334" w:rsidP="00501B0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tbl>
            <w:tblPr>
              <w:tblW w:w="8505" w:type="dxa"/>
              <w:tblInd w:w="1054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36"/>
              <w:gridCol w:w="3969"/>
            </w:tblGrid>
            <w:tr w:rsidR="00ED7334" w:rsidRPr="00ED7334" w:rsidTr="00ED7334">
              <w:trPr>
                <w:trHeight w:val="255"/>
              </w:trPr>
              <w:tc>
                <w:tcPr>
                  <w:tcW w:w="4536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D7334" w:rsidRPr="00ED7334" w:rsidRDefault="00ED7334" w:rsidP="00ED7334">
                  <w:pPr>
                    <w:spacing w:after="0"/>
                    <w:rPr>
                      <w:rFonts w:ascii="Arial" w:eastAsia="Times New Roman" w:hAnsi="Arial" w:cs="Arial"/>
                      <w:sz w:val="20"/>
                      <w:szCs w:val="20"/>
                      <w:lang w:val="es-CO" w:eastAsia="es-CO"/>
                    </w:rPr>
                  </w:pPr>
                  <w:r w:rsidRPr="00ED7334">
                    <w:rPr>
                      <w:rFonts w:ascii="Arial" w:eastAsia="Times New Roman" w:hAnsi="Arial" w:cs="Arial"/>
                      <w:sz w:val="20"/>
                      <w:szCs w:val="20"/>
                      <w:lang w:val="es-CO" w:eastAsia="es-CO"/>
                    </w:rPr>
                    <w:t>COMPROMISOS / APROP. VIGENTE</w:t>
                  </w:r>
                </w:p>
              </w:tc>
              <w:tc>
                <w:tcPr>
                  <w:tcW w:w="396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D7334" w:rsidRPr="00ED7334" w:rsidRDefault="00ED7334" w:rsidP="00ED7334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val="es-CO" w:eastAsia="es-CO"/>
                    </w:rPr>
                  </w:pPr>
                  <w:r w:rsidRPr="00ED7334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val="es-CO" w:eastAsia="es-CO"/>
                    </w:rPr>
                    <w:t>22,20%</w:t>
                  </w:r>
                </w:p>
              </w:tc>
            </w:tr>
            <w:tr w:rsidR="00ED7334" w:rsidRPr="00ED7334" w:rsidTr="00ED7334">
              <w:trPr>
                <w:trHeight w:val="255"/>
              </w:trPr>
              <w:tc>
                <w:tcPr>
                  <w:tcW w:w="453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D7334" w:rsidRPr="00ED7334" w:rsidRDefault="00ED7334" w:rsidP="00ED7334">
                  <w:pPr>
                    <w:spacing w:after="0"/>
                    <w:rPr>
                      <w:rFonts w:ascii="Arial" w:eastAsia="Times New Roman" w:hAnsi="Arial" w:cs="Arial"/>
                      <w:sz w:val="20"/>
                      <w:szCs w:val="20"/>
                      <w:lang w:val="es-CO" w:eastAsia="es-CO"/>
                    </w:rPr>
                  </w:pPr>
                  <w:r w:rsidRPr="00ED7334">
                    <w:rPr>
                      <w:rFonts w:ascii="Arial" w:eastAsia="Times New Roman" w:hAnsi="Arial" w:cs="Arial"/>
                      <w:sz w:val="20"/>
                      <w:szCs w:val="20"/>
                      <w:lang w:val="es-CO" w:eastAsia="es-CO"/>
                    </w:rPr>
                    <w:t>OBLIGACIONES / COMPROMISOS</w:t>
                  </w:r>
                </w:p>
              </w:tc>
              <w:tc>
                <w:tcPr>
                  <w:tcW w:w="396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D7334" w:rsidRPr="00ED7334" w:rsidRDefault="00ED7334" w:rsidP="00ED7334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s-CO" w:eastAsia="es-CO"/>
                    </w:rPr>
                  </w:pPr>
                  <w:r w:rsidRPr="00ED7334">
                    <w:rPr>
                      <w:rFonts w:ascii="Arial" w:eastAsia="Times New Roman" w:hAnsi="Arial" w:cs="Arial"/>
                      <w:sz w:val="20"/>
                      <w:szCs w:val="20"/>
                      <w:lang w:val="es-CO" w:eastAsia="es-CO"/>
                    </w:rPr>
                    <w:t>48,26%</w:t>
                  </w:r>
                </w:p>
              </w:tc>
            </w:tr>
            <w:tr w:rsidR="00ED7334" w:rsidRPr="00ED7334" w:rsidTr="00ED7334">
              <w:trPr>
                <w:trHeight w:val="255"/>
              </w:trPr>
              <w:tc>
                <w:tcPr>
                  <w:tcW w:w="453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D7334" w:rsidRPr="00ED7334" w:rsidRDefault="00ED7334" w:rsidP="00ED7334">
                  <w:pPr>
                    <w:spacing w:after="0"/>
                    <w:rPr>
                      <w:rFonts w:ascii="Arial" w:eastAsia="Times New Roman" w:hAnsi="Arial" w:cs="Arial"/>
                      <w:sz w:val="20"/>
                      <w:szCs w:val="20"/>
                      <w:lang w:val="es-CO" w:eastAsia="es-CO"/>
                    </w:rPr>
                  </w:pPr>
                  <w:r w:rsidRPr="00ED7334">
                    <w:rPr>
                      <w:rFonts w:ascii="Arial" w:eastAsia="Times New Roman" w:hAnsi="Arial" w:cs="Arial"/>
                      <w:sz w:val="20"/>
                      <w:szCs w:val="20"/>
                      <w:lang w:val="es-CO" w:eastAsia="es-CO"/>
                    </w:rPr>
                    <w:t>PAGOS / OBLIGACIONES</w:t>
                  </w:r>
                </w:p>
              </w:tc>
              <w:tc>
                <w:tcPr>
                  <w:tcW w:w="396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D7334" w:rsidRPr="00ED7334" w:rsidRDefault="00ED7334" w:rsidP="00ED7334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s-CO" w:eastAsia="es-CO"/>
                    </w:rPr>
                  </w:pPr>
                  <w:r w:rsidRPr="00ED7334">
                    <w:rPr>
                      <w:rFonts w:ascii="Arial" w:eastAsia="Times New Roman" w:hAnsi="Arial" w:cs="Arial"/>
                      <w:sz w:val="20"/>
                      <w:szCs w:val="20"/>
                      <w:lang w:val="es-CO" w:eastAsia="es-CO"/>
                    </w:rPr>
                    <w:t>99,09%</w:t>
                  </w:r>
                </w:p>
              </w:tc>
            </w:tr>
            <w:tr w:rsidR="00ED7334" w:rsidRPr="00ED7334" w:rsidTr="00ED7334">
              <w:trPr>
                <w:trHeight w:val="255"/>
              </w:trPr>
              <w:tc>
                <w:tcPr>
                  <w:tcW w:w="453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D7334" w:rsidRPr="00ED7334" w:rsidRDefault="00ED7334" w:rsidP="00ED7334">
                  <w:pPr>
                    <w:spacing w:after="0"/>
                    <w:rPr>
                      <w:rFonts w:ascii="Arial" w:eastAsia="Times New Roman" w:hAnsi="Arial" w:cs="Arial"/>
                      <w:sz w:val="20"/>
                      <w:szCs w:val="20"/>
                      <w:lang w:val="es-CO" w:eastAsia="es-CO"/>
                    </w:rPr>
                  </w:pPr>
                  <w:r w:rsidRPr="00ED7334">
                    <w:rPr>
                      <w:rFonts w:ascii="Arial" w:eastAsia="Times New Roman" w:hAnsi="Arial" w:cs="Arial"/>
                      <w:sz w:val="20"/>
                      <w:szCs w:val="20"/>
                      <w:lang w:val="es-CO" w:eastAsia="es-CO"/>
                    </w:rPr>
                    <w:t>APROPIACION SIN COMPROMETER</w:t>
                  </w:r>
                </w:p>
              </w:tc>
              <w:tc>
                <w:tcPr>
                  <w:tcW w:w="396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D7334" w:rsidRPr="00ED7334" w:rsidRDefault="00ED7334" w:rsidP="00ED7334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s-CO" w:eastAsia="es-CO"/>
                    </w:rPr>
                  </w:pPr>
                  <w:r w:rsidRPr="00ED7334">
                    <w:rPr>
                      <w:rFonts w:ascii="Arial" w:eastAsia="Times New Roman" w:hAnsi="Arial" w:cs="Arial"/>
                      <w:sz w:val="20"/>
                      <w:szCs w:val="20"/>
                      <w:lang w:val="es-CO" w:eastAsia="es-CO"/>
                    </w:rPr>
                    <w:t>77,80%</w:t>
                  </w:r>
                </w:p>
              </w:tc>
            </w:tr>
            <w:tr w:rsidR="00ED7334" w:rsidRPr="00ED7334" w:rsidTr="00ED7334">
              <w:trPr>
                <w:trHeight w:val="270"/>
              </w:trPr>
              <w:tc>
                <w:tcPr>
                  <w:tcW w:w="453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D7334" w:rsidRPr="00ED7334" w:rsidRDefault="00ED7334" w:rsidP="00ED7334">
                  <w:pPr>
                    <w:spacing w:after="0"/>
                    <w:rPr>
                      <w:rFonts w:ascii="Arial" w:eastAsia="Times New Roman" w:hAnsi="Arial" w:cs="Arial"/>
                      <w:sz w:val="20"/>
                      <w:szCs w:val="20"/>
                      <w:lang w:val="es-CO" w:eastAsia="es-CO"/>
                    </w:rPr>
                  </w:pPr>
                  <w:r w:rsidRPr="00ED7334">
                    <w:rPr>
                      <w:rFonts w:ascii="Arial" w:eastAsia="Times New Roman" w:hAnsi="Arial" w:cs="Arial"/>
                      <w:sz w:val="20"/>
                      <w:szCs w:val="20"/>
                      <w:lang w:val="es-CO" w:eastAsia="es-CO"/>
                    </w:rPr>
                    <w:t>PAGOS / APROPIACION VIGENTE</w:t>
                  </w:r>
                </w:p>
              </w:tc>
              <w:tc>
                <w:tcPr>
                  <w:tcW w:w="396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D7334" w:rsidRPr="00ED7334" w:rsidRDefault="00ED7334" w:rsidP="00ED7334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val="es-CO" w:eastAsia="es-CO"/>
                    </w:rPr>
                  </w:pPr>
                  <w:r w:rsidRPr="00ED7334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val="es-CO" w:eastAsia="es-CO"/>
                    </w:rPr>
                    <w:t>10,62%</w:t>
                  </w:r>
                </w:p>
              </w:tc>
            </w:tr>
          </w:tbl>
          <w:p w:rsidR="00ED7334" w:rsidRDefault="00ED7334" w:rsidP="00ED733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:rsidR="00A51C20" w:rsidRDefault="00A51C20" w:rsidP="00ED733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:rsidR="00CF2A0E" w:rsidRDefault="00ED7334" w:rsidP="0066072B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FD0A648" wp14:editId="049D412B">
                  <wp:extent cx="6286500" cy="3048000"/>
                  <wp:effectExtent l="0" t="0" r="0" b="0"/>
                  <wp:docPr id="1" name="Gráfico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A51C20" w:rsidRDefault="00A51C20" w:rsidP="00714F5C">
            <w:pPr>
              <w:jc w:val="both"/>
              <w:rPr>
                <w:rFonts w:ascii="Arial Narrow" w:hAnsi="Arial Narrow" w:cs="Arial"/>
              </w:rPr>
            </w:pPr>
          </w:p>
          <w:p w:rsidR="00A65474" w:rsidRDefault="00ED7334" w:rsidP="00714F5C">
            <w:pPr>
              <w:jc w:val="both"/>
              <w:rPr>
                <w:rFonts w:ascii="Arial Narrow" w:hAnsi="Arial Narrow" w:cs="Arial"/>
              </w:rPr>
            </w:pPr>
            <w:r w:rsidRPr="00B126D9">
              <w:rPr>
                <w:rFonts w:ascii="Arial Narrow" w:hAnsi="Arial Narrow" w:cs="Arial"/>
              </w:rPr>
              <w:t xml:space="preserve">Las anteriores cifras registran un comportamiento bajo de ejecución presupuestal, una vez trascurrido el primer cuatrimestre de la vigencia; la ejecución sobre compromisos solo alcanza el 22.2% y si comparamos nuestra apropiación frente a pagos el </w:t>
            </w:r>
            <w:r w:rsidRPr="00B126D9">
              <w:rPr>
                <w:rFonts w:ascii="Arial Narrow" w:hAnsi="Arial Narrow" w:cs="Arial"/>
              </w:rPr>
              <w:lastRenderedPageBreak/>
              <w:t>indicador alcanza el 10.62%. Situación altamente preocupante, si tenemos en cuenta que en Octubr</w:t>
            </w:r>
            <w:r w:rsidR="00A51C20">
              <w:rPr>
                <w:rFonts w:ascii="Arial Narrow" w:hAnsi="Arial Narrow" w:cs="Arial"/>
              </w:rPr>
              <w:t>e de 2017 inicia el periodo de L</w:t>
            </w:r>
            <w:r w:rsidRPr="00B126D9">
              <w:rPr>
                <w:rFonts w:ascii="Arial Narrow" w:hAnsi="Arial Narrow" w:cs="Arial"/>
              </w:rPr>
              <w:t xml:space="preserve">ey de Garantías, ante lo cual solo tendríamos un espacio de tiempo de 6 meses para ejecutar, $1.36 billones. </w:t>
            </w:r>
          </w:p>
          <w:p w:rsidR="00B126D9" w:rsidRDefault="00B126D9" w:rsidP="00714F5C">
            <w:pPr>
              <w:jc w:val="both"/>
              <w:rPr>
                <w:rFonts w:ascii="Arial Narrow" w:hAnsi="Arial Narrow" w:cs="Arial"/>
              </w:rPr>
            </w:pPr>
          </w:p>
          <w:p w:rsidR="00A51C20" w:rsidRDefault="00A51C20" w:rsidP="00714F5C">
            <w:pPr>
              <w:jc w:val="both"/>
              <w:rPr>
                <w:rFonts w:ascii="Arial Narrow" w:hAnsi="Arial Narrow" w:cs="Arial"/>
              </w:rPr>
            </w:pPr>
          </w:p>
          <w:p w:rsidR="00A51C20" w:rsidRDefault="00A51C20" w:rsidP="00714F5C">
            <w:pPr>
              <w:jc w:val="both"/>
              <w:rPr>
                <w:rFonts w:ascii="Arial Narrow" w:hAnsi="Arial Narrow" w:cs="Arial"/>
              </w:rPr>
            </w:pPr>
          </w:p>
          <w:p w:rsidR="00A51C20" w:rsidRDefault="00A51C20" w:rsidP="00714F5C">
            <w:pPr>
              <w:jc w:val="both"/>
              <w:rPr>
                <w:rFonts w:ascii="Arial Narrow" w:hAnsi="Arial Narrow" w:cs="Arial"/>
              </w:rPr>
            </w:pPr>
          </w:p>
          <w:p w:rsidR="00A51C20" w:rsidRDefault="00A51C20" w:rsidP="00714F5C">
            <w:pPr>
              <w:jc w:val="both"/>
              <w:rPr>
                <w:rFonts w:ascii="Arial Narrow" w:hAnsi="Arial Narrow" w:cs="Arial"/>
              </w:rPr>
            </w:pPr>
          </w:p>
          <w:p w:rsidR="00A51C20" w:rsidRPr="00A51C20" w:rsidRDefault="00B126D9" w:rsidP="00B126D9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B126D9">
              <w:rPr>
                <w:rFonts w:ascii="Arial Narrow" w:hAnsi="Arial Narrow" w:cs="Arial"/>
                <w:b/>
                <w:bCs/>
                <w:sz w:val="22"/>
                <w:szCs w:val="22"/>
                <w:lang w:eastAsia="es-CO"/>
              </w:rPr>
              <w:t xml:space="preserve">EJECUCIÓN DE </w:t>
            </w:r>
            <w:r w:rsidRPr="00B126D9">
              <w:rPr>
                <w:rFonts w:ascii="Arial Narrow" w:hAnsi="Arial Narrow" w:cs="Arial"/>
                <w:b/>
                <w:sz w:val="22"/>
                <w:szCs w:val="22"/>
              </w:rPr>
              <w:t>RESERVAS DE APROPIACIÓN Y CUENTAS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POR PAGAR CONSTITUIDAS </w:t>
            </w:r>
            <w:r w:rsidRPr="00B126D9">
              <w:rPr>
                <w:rFonts w:ascii="Arial Narrow" w:hAnsi="Arial Narrow" w:cs="Arial"/>
                <w:b/>
                <w:sz w:val="22"/>
                <w:szCs w:val="22"/>
              </w:rPr>
              <w:t>2016</w:t>
            </w:r>
          </w:p>
          <w:p w:rsidR="00CD7DBC" w:rsidRDefault="00B126D9" w:rsidP="00B126D9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85E68">
              <w:rPr>
                <w:rFonts w:ascii="Arial Narrow" w:hAnsi="Arial Narrow" w:cs="Arial"/>
                <w:sz w:val="22"/>
                <w:szCs w:val="22"/>
              </w:rPr>
              <w:t>De acuerdo con los saldos regis</w:t>
            </w:r>
            <w:r>
              <w:rPr>
                <w:rFonts w:ascii="Arial Narrow" w:hAnsi="Arial Narrow" w:cs="Arial"/>
                <w:sz w:val="22"/>
                <w:szCs w:val="22"/>
              </w:rPr>
              <w:t>trados</w:t>
            </w:r>
            <w:r w:rsidR="00A51C20">
              <w:rPr>
                <w:rFonts w:ascii="Arial Narrow" w:hAnsi="Arial Narrow" w:cs="Arial"/>
                <w:sz w:val="22"/>
                <w:szCs w:val="22"/>
              </w:rPr>
              <w:t xml:space="preserve"> por</w:t>
            </w:r>
            <w:r w:rsidRPr="00185E68">
              <w:rPr>
                <w:rFonts w:ascii="Arial Narrow" w:hAnsi="Arial Narrow" w:cs="Arial"/>
                <w:sz w:val="22"/>
                <w:szCs w:val="22"/>
              </w:rPr>
              <w:t xml:space="preserve"> el Grupo de Gestión Financiera, las reservas presupuestales y cuentas por pagar </w:t>
            </w:r>
            <w:r w:rsidR="00A51C20">
              <w:rPr>
                <w:rFonts w:ascii="Arial Narrow" w:hAnsi="Arial Narrow" w:cs="Arial"/>
                <w:sz w:val="22"/>
                <w:szCs w:val="22"/>
              </w:rPr>
              <w:t>muestran el siguiente comportamiento de ejecución a 31 de mayo de 2017:</w:t>
            </w:r>
          </w:p>
          <w:p w:rsidR="005E1009" w:rsidRDefault="00983C3E" w:rsidP="00B126D9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bookmarkStart w:id="0" w:name="_GoBack"/>
            <w:bookmarkEnd w:id="0"/>
          </w:p>
          <w:p w:rsidR="00CD7DBC" w:rsidRDefault="00CD7DBC" w:rsidP="00CD7DBC">
            <w:pPr>
              <w:pStyle w:val="Prrafodelista"/>
              <w:numPr>
                <w:ilvl w:val="0"/>
                <w:numId w:val="44"/>
              </w:numPr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CD7DBC">
              <w:rPr>
                <w:rFonts w:ascii="Arial Narrow" w:hAnsi="Arial Narrow" w:cs="Arial"/>
                <w:b/>
                <w:sz w:val="22"/>
                <w:szCs w:val="22"/>
              </w:rPr>
              <w:t>RESERVAS PRESU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P</w:t>
            </w:r>
            <w:r w:rsidRPr="00CD7DBC">
              <w:rPr>
                <w:rFonts w:ascii="Arial Narrow" w:hAnsi="Arial Narrow" w:cs="Arial"/>
                <w:b/>
                <w:sz w:val="22"/>
                <w:szCs w:val="22"/>
              </w:rPr>
              <w:t>UESTALES:</w:t>
            </w:r>
          </w:p>
          <w:p w:rsidR="00CD7DBC" w:rsidRPr="00CD7DBC" w:rsidRDefault="00CD7DBC" w:rsidP="00CD7DBC">
            <w:pPr>
              <w:pStyle w:val="Prrafodelista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B126D9" w:rsidRDefault="00CD7DBC" w:rsidP="00714F5C">
            <w:pPr>
              <w:jc w:val="both"/>
              <w:rPr>
                <w:rFonts w:ascii="Arial Narrow" w:hAnsi="Arial Narrow" w:cs="Arial"/>
              </w:rPr>
            </w:pPr>
            <w:r w:rsidRPr="00A51C20">
              <w:rPr>
                <w:noProof/>
                <w:lang w:val="es-ES" w:eastAsia="es-ES"/>
              </w:rPr>
              <w:drawing>
                <wp:inline distT="0" distB="0" distL="0" distR="0" wp14:anchorId="749A3FCB" wp14:editId="5C8E3EC3">
                  <wp:extent cx="6625876" cy="1562100"/>
                  <wp:effectExtent l="0" t="0" r="381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223" cy="158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86E" w:rsidRDefault="00E1386E" w:rsidP="00714F5C">
            <w:pPr>
              <w:jc w:val="both"/>
              <w:rPr>
                <w:rFonts w:ascii="Arial Narrow" w:hAnsi="Arial Narrow" w:cs="Arial"/>
              </w:rPr>
            </w:pPr>
          </w:p>
          <w:p w:rsidR="00A51C20" w:rsidRDefault="00CD7DBC" w:rsidP="00714F5C">
            <w:pPr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Si bien el indicador de reservas presupuestales alcanza una ejecución del 95.83%, aún queda por ejecutarse una cifra importante de $13.856 millones, de los cuales $12.483.7 millones corresponden al rubro de Inversión.</w:t>
            </w:r>
          </w:p>
          <w:p w:rsidR="007F475E" w:rsidRDefault="007F475E" w:rsidP="00714F5C">
            <w:pPr>
              <w:jc w:val="both"/>
              <w:rPr>
                <w:rFonts w:ascii="Arial Narrow" w:hAnsi="Arial Narrow" w:cs="Arial"/>
              </w:rPr>
            </w:pPr>
          </w:p>
          <w:p w:rsidR="00CD7DBC" w:rsidRPr="00CD7DBC" w:rsidRDefault="00CD7DBC" w:rsidP="00CD7DBC">
            <w:pPr>
              <w:pStyle w:val="Prrafodelista"/>
              <w:numPr>
                <w:ilvl w:val="0"/>
                <w:numId w:val="44"/>
              </w:numPr>
              <w:jc w:val="both"/>
              <w:rPr>
                <w:rFonts w:ascii="Arial Narrow" w:hAnsi="Arial Narrow" w:cs="Arial"/>
                <w:b/>
              </w:rPr>
            </w:pPr>
            <w:r w:rsidRPr="00CD7DBC">
              <w:rPr>
                <w:rFonts w:ascii="Arial Narrow" w:hAnsi="Arial Narrow" w:cs="Arial"/>
                <w:b/>
              </w:rPr>
              <w:t>CUENTAS POR PAGAR:</w:t>
            </w:r>
          </w:p>
          <w:p w:rsidR="00CD7DBC" w:rsidRDefault="00CD7DBC" w:rsidP="00CD7DBC">
            <w:pPr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val="es-ES" w:eastAsia="es-ES"/>
              </w:rPr>
              <w:lastRenderedPageBreak/>
              <w:drawing>
                <wp:inline distT="0" distB="0" distL="0" distR="0" wp14:anchorId="53DA5480">
                  <wp:extent cx="6625590" cy="1524000"/>
                  <wp:effectExtent l="0" t="0" r="381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559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1386E" w:rsidRDefault="00E1386E" w:rsidP="00714F5C">
            <w:pPr>
              <w:jc w:val="both"/>
              <w:rPr>
                <w:rFonts w:ascii="Arial Narrow" w:hAnsi="Arial Narrow" w:cs="Arial"/>
              </w:rPr>
            </w:pPr>
          </w:p>
          <w:p w:rsidR="00B126D9" w:rsidRPr="00B126D9" w:rsidRDefault="00CD7DBC" w:rsidP="00714F5C">
            <w:pPr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Las cuentas </w:t>
            </w:r>
            <w:r w:rsidR="00173E77">
              <w:rPr>
                <w:rFonts w:ascii="Arial Narrow" w:hAnsi="Arial Narrow" w:cs="Arial"/>
              </w:rPr>
              <w:t xml:space="preserve">por </w:t>
            </w:r>
            <w:r>
              <w:rPr>
                <w:rFonts w:ascii="Arial Narrow" w:hAnsi="Arial Narrow" w:cs="Arial"/>
              </w:rPr>
              <w:t xml:space="preserve">pagar presentan una ejecución positiva al registrar 99,99% frente a los recursos constituidos. </w:t>
            </w:r>
            <w:r w:rsidR="00173E77">
              <w:rPr>
                <w:rFonts w:ascii="Arial Narrow" w:hAnsi="Arial Narrow" w:cs="Arial"/>
              </w:rPr>
              <w:t>Solo queda  por ejecutar $20 millones del rubro de Inversión.</w:t>
            </w:r>
          </w:p>
          <w:tbl>
            <w:tblPr>
              <w:tblW w:w="864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400"/>
              <w:gridCol w:w="2240"/>
            </w:tblGrid>
            <w:tr w:rsidR="007B7196" w:rsidRPr="007B7196" w:rsidTr="00A26FFF">
              <w:trPr>
                <w:trHeight w:val="300"/>
              </w:trPr>
              <w:tc>
                <w:tcPr>
                  <w:tcW w:w="6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7B7196" w:rsidRPr="007B7196" w:rsidRDefault="007B7196" w:rsidP="007B7196">
                  <w:pPr>
                    <w:spacing w:after="0"/>
                    <w:rPr>
                      <w:rFonts w:ascii="Times New Roman" w:eastAsia="Times New Roman" w:hAnsi="Times New Roman"/>
                      <w:sz w:val="20"/>
                      <w:szCs w:val="20"/>
                      <w:lang w:val="es-CO" w:eastAsia="es-CO"/>
                    </w:rPr>
                  </w:pP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7196" w:rsidRPr="007B7196" w:rsidRDefault="007B7196" w:rsidP="007B7196">
                  <w:pPr>
                    <w:spacing w:after="0"/>
                    <w:rPr>
                      <w:rFonts w:ascii="Times New Roman" w:eastAsia="Times New Roman" w:hAnsi="Times New Roman"/>
                      <w:sz w:val="20"/>
                      <w:szCs w:val="20"/>
                      <w:lang w:val="es-CO" w:eastAsia="es-CO"/>
                    </w:rPr>
                  </w:pPr>
                </w:p>
              </w:tc>
            </w:tr>
            <w:tr w:rsidR="007B7196" w:rsidRPr="007B7196" w:rsidTr="00A26FFF">
              <w:trPr>
                <w:trHeight w:val="300"/>
              </w:trPr>
              <w:tc>
                <w:tcPr>
                  <w:tcW w:w="6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7B7196" w:rsidRPr="007B7196" w:rsidRDefault="007B7196" w:rsidP="007B7196">
                  <w:pPr>
                    <w:spacing w:after="0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val="es-CO" w:eastAsia="es-CO"/>
                    </w:rPr>
                  </w:pP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7196" w:rsidRPr="007B7196" w:rsidRDefault="007B7196" w:rsidP="007B7196">
                  <w:pPr>
                    <w:spacing w:after="0"/>
                    <w:rPr>
                      <w:rFonts w:ascii="Times New Roman" w:eastAsia="Times New Roman" w:hAnsi="Times New Roman"/>
                      <w:sz w:val="20"/>
                      <w:szCs w:val="20"/>
                      <w:lang w:val="es-CO" w:eastAsia="es-CO"/>
                    </w:rPr>
                  </w:pPr>
                </w:p>
              </w:tc>
            </w:tr>
            <w:tr w:rsidR="007B7196" w:rsidRPr="007B7196" w:rsidTr="00A26FFF">
              <w:trPr>
                <w:trHeight w:val="300"/>
              </w:trPr>
              <w:tc>
                <w:tcPr>
                  <w:tcW w:w="6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7B7196" w:rsidRPr="007B7196" w:rsidRDefault="007B7196" w:rsidP="007B7196">
                  <w:pPr>
                    <w:spacing w:after="0"/>
                    <w:rPr>
                      <w:rFonts w:ascii="Times New Roman" w:eastAsia="Times New Roman" w:hAnsi="Times New Roman"/>
                      <w:sz w:val="20"/>
                      <w:szCs w:val="20"/>
                      <w:lang w:val="es-CO" w:eastAsia="es-CO"/>
                    </w:rPr>
                  </w:pP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7196" w:rsidRPr="007B7196" w:rsidRDefault="007B7196" w:rsidP="007B7196">
                  <w:pPr>
                    <w:spacing w:after="0"/>
                    <w:rPr>
                      <w:rFonts w:ascii="Times New Roman" w:eastAsia="Times New Roman" w:hAnsi="Times New Roman"/>
                      <w:sz w:val="20"/>
                      <w:szCs w:val="20"/>
                      <w:lang w:val="es-CO" w:eastAsia="es-CO"/>
                    </w:rPr>
                  </w:pPr>
                </w:p>
              </w:tc>
            </w:tr>
            <w:tr w:rsidR="007B7196" w:rsidRPr="007B7196" w:rsidTr="00A26FFF">
              <w:trPr>
                <w:trHeight w:val="300"/>
              </w:trPr>
              <w:tc>
                <w:tcPr>
                  <w:tcW w:w="6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7B7196" w:rsidRPr="007B7196" w:rsidRDefault="007B7196" w:rsidP="007B7196">
                  <w:pPr>
                    <w:spacing w:after="0"/>
                    <w:rPr>
                      <w:rFonts w:ascii="Times New Roman" w:eastAsia="Times New Roman" w:hAnsi="Times New Roman"/>
                      <w:sz w:val="20"/>
                      <w:szCs w:val="20"/>
                      <w:lang w:val="es-CO" w:eastAsia="es-CO"/>
                    </w:rPr>
                  </w:pP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7196" w:rsidRPr="007B7196" w:rsidRDefault="007B7196" w:rsidP="007B7196">
                  <w:pPr>
                    <w:spacing w:after="0"/>
                    <w:rPr>
                      <w:rFonts w:ascii="Times New Roman" w:eastAsia="Times New Roman" w:hAnsi="Times New Roman"/>
                      <w:sz w:val="20"/>
                      <w:szCs w:val="20"/>
                      <w:lang w:val="es-CO" w:eastAsia="es-CO"/>
                    </w:rPr>
                  </w:pPr>
                </w:p>
              </w:tc>
            </w:tr>
            <w:tr w:rsidR="007B7196" w:rsidRPr="007B7196" w:rsidTr="00A26FFF">
              <w:trPr>
                <w:trHeight w:val="300"/>
              </w:trPr>
              <w:tc>
                <w:tcPr>
                  <w:tcW w:w="6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7196" w:rsidRPr="007B7196" w:rsidRDefault="007B7196" w:rsidP="007B7196">
                  <w:pPr>
                    <w:spacing w:after="0"/>
                    <w:rPr>
                      <w:rFonts w:ascii="Times New Roman" w:eastAsia="Times New Roman" w:hAnsi="Times New Roman"/>
                      <w:sz w:val="20"/>
                      <w:szCs w:val="20"/>
                      <w:lang w:val="es-CO" w:eastAsia="es-CO"/>
                    </w:rPr>
                  </w:pP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7196" w:rsidRPr="007B7196" w:rsidRDefault="007B7196" w:rsidP="007B7196">
                  <w:pPr>
                    <w:spacing w:after="0"/>
                    <w:rPr>
                      <w:rFonts w:ascii="Times New Roman" w:eastAsia="Times New Roman" w:hAnsi="Times New Roman"/>
                      <w:sz w:val="20"/>
                      <w:szCs w:val="20"/>
                      <w:lang w:val="es-CO" w:eastAsia="es-CO"/>
                    </w:rPr>
                  </w:pPr>
                </w:p>
              </w:tc>
            </w:tr>
          </w:tbl>
          <w:p w:rsidR="00FA0B64" w:rsidRPr="00E618FD" w:rsidRDefault="00FA0B64" w:rsidP="00FA0B64">
            <w:pPr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  <w:tr w:rsidR="00FA0B64" w:rsidRPr="006369FA" w:rsidTr="0081049E">
        <w:tc>
          <w:tcPr>
            <w:tcW w:w="10632" w:type="dxa"/>
            <w:shd w:val="clear" w:color="auto" w:fill="D9D9D9"/>
          </w:tcPr>
          <w:p w:rsidR="00FA0B64" w:rsidRPr="00E618FD" w:rsidRDefault="00FA0B64" w:rsidP="00FA0B64">
            <w:pPr>
              <w:pStyle w:val="Prrafodelista"/>
              <w:numPr>
                <w:ilvl w:val="0"/>
                <w:numId w:val="21"/>
              </w:numPr>
              <w:spacing w:after="0"/>
              <w:ind w:left="318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E618FD">
              <w:rPr>
                <w:rFonts w:ascii="Arial Narrow" w:hAnsi="Arial Narrow" w:cs="Arial"/>
                <w:b/>
                <w:sz w:val="22"/>
                <w:szCs w:val="22"/>
              </w:rPr>
              <w:lastRenderedPageBreak/>
              <w:t>Conclusiones y/o Recomendaciones</w:t>
            </w:r>
          </w:p>
          <w:p w:rsidR="00FA0B64" w:rsidRPr="00E618FD" w:rsidRDefault="00FA0B64" w:rsidP="00FA0B64">
            <w:pPr>
              <w:pStyle w:val="Prrafodelista"/>
              <w:spacing w:after="0"/>
              <w:ind w:left="318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  <w:tr w:rsidR="00FA0B64" w:rsidRPr="006369FA" w:rsidTr="0081049E">
        <w:tc>
          <w:tcPr>
            <w:tcW w:w="10632" w:type="dxa"/>
            <w:shd w:val="clear" w:color="auto" w:fill="auto"/>
          </w:tcPr>
          <w:p w:rsidR="00FA0B64" w:rsidRDefault="00FA0B64" w:rsidP="00FA0B64">
            <w:pPr>
              <w:pStyle w:val="Prrafodelista"/>
              <w:spacing w:after="0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:rsidR="00EA3B04" w:rsidRDefault="00EA3B04" w:rsidP="00EA3B04">
            <w:pPr>
              <w:pStyle w:val="Prrafodelista"/>
              <w:numPr>
                <w:ilvl w:val="0"/>
                <w:numId w:val="28"/>
              </w:numPr>
              <w:spacing w:after="0" w:line="360" w:lineRule="auto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41B3D">
              <w:rPr>
                <w:rFonts w:ascii="Arial Narrow" w:hAnsi="Arial Narrow" w:cs="Arial"/>
                <w:sz w:val="22"/>
                <w:szCs w:val="22"/>
              </w:rPr>
              <w:t>En cuanto a la ejecución pres</w:t>
            </w:r>
            <w:r w:rsidR="00A26FFF">
              <w:rPr>
                <w:rFonts w:ascii="Arial Narrow" w:hAnsi="Arial Narrow" w:cs="Arial"/>
                <w:sz w:val="22"/>
                <w:szCs w:val="22"/>
              </w:rPr>
              <w:t>upuestal de la Unidad durante lo corrido de la</w:t>
            </w:r>
            <w:r w:rsidRPr="00541B3D">
              <w:rPr>
                <w:rFonts w:ascii="Arial Narrow" w:hAnsi="Arial Narrow" w:cs="Arial"/>
                <w:sz w:val="22"/>
                <w:szCs w:val="22"/>
              </w:rPr>
              <w:t xml:space="preserve"> vigencia 201</w:t>
            </w:r>
            <w:r w:rsidR="00A26FFF">
              <w:rPr>
                <w:rFonts w:ascii="Arial Narrow" w:hAnsi="Arial Narrow" w:cs="Arial"/>
                <w:sz w:val="22"/>
                <w:szCs w:val="22"/>
              </w:rPr>
              <w:t>7</w:t>
            </w:r>
            <w:r w:rsidRPr="00541B3D">
              <w:rPr>
                <w:rFonts w:ascii="Arial Narrow" w:hAnsi="Arial Narrow" w:cs="Arial"/>
                <w:sz w:val="22"/>
                <w:szCs w:val="22"/>
              </w:rPr>
              <w:t xml:space="preserve">, la Oficina de Control Interno, observa un nivel </w:t>
            </w:r>
            <w:r w:rsidR="00A26FFF">
              <w:rPr>
                <w:rFonts w:ascii="Arial Narrow" w:hAnsi="Arial Narrow" w:cs="Arial"/>
                <w:sz w:val="22"/>
                <w:szCs w:val="22"/>
              </w:rPr>
              <w:t>bajo en la</w:t>
            </w:r>
            <w:r w:rsidRPr="00541B3D">
              <w:rPr>
                <w:rFonts w:ascii="Arial Narrow" w:hAnsi="Arial Narrow" w:cs="Arial"/>
                <w:sz w:val="22"/>
                <w:szCs w:val="22"/>
              </w:rPr>
              <w:t xml:space="preserve"> gestión de sus recursos, en razón a que se </w:t>
            </w:r>
            <w:r w:rsidR="00A26FFF">
              <w:rPr>
                <w:rFonts w:ascii="Arial Narrow" w:hAnsi="Arial Narrow" w:cs="Arial"/>
                <w:sz w:val="22"/>
                <w:szCs w:val="22"/>
              </w:rPr>
              <w:t xml:space="preserve">ha comprometió el </w:t>
            </w:r>
            <w:r w:rsidR="00A26FFF" w:rsidRPr="00A26FFF">
              <w:rPr>
                <w:rFonts w:ascii="Arial Narrow" w:hAnsi="Arial Narrow" w:cs="Arial"/>
                <w:b/>
                <w:sz w:val="22"/>
                <w:szCs w:val="22"/>
              </w:rPr>
              <w:t>22.20</w:t>
            </w:r>
            <w:r w:rsidRPr="00A26FFF">
              <w:rPr>
                <w:rFonts w:ascii="Arial Narrow" w:hAnsi="Arial Narrow" w:cs="Arial"/>
                <w:b/>
                <w:sz w:val="22"/>
                <w:szCs w:val="22"/>
              </w:rPr>
              <w:t>%</w:t>
            </w:r>
            <w:r w:rsidRPr="00541B3D">
              <w:rPr>
                <w:rFonts w:ascii="Arial Narrow" w:hAnsi="Arial Narrow" w:cs="Arial"/>
                <w:sz w:val="22"/>
                <w:szCs w:val="22"/>
              </w:rPr>
              <w:t xml:space="preserve"> frente a la apropiación vigente y </w:t>
            </w:r>
            <w:r w:rsidR="00A26FFF">
              <w:rPr>
                <w:rFonts w:ascii="Arial Narrow" w:hAnsi="Arial Narrow" w:cs="Arial"/>
                <w:sz w:val="22"/>
                <w:szCs w:val="22"/>
              </w:rPr>
              <w:t>los</w:t>
            </w:r>
            <w:r w:rsidRPr="00541B3D">
              <w:rPr>
                <w:rFonts w:ascii="Arial Narrow" w:hAnsi="Arial Narrow" w:cs="Arial"/>
                <w:sz w:val="22"/>
                <w:szCs w:val="22"/>
              </w:rPr>
              <w:t xml:space="preserve"> pagos </w:t>
            </w:r>
            <w:r w:rsidR="00A26FFF">
              <w:rPr>
                <w:rFonts w:ascii="Arial Narrow" w:hAnsi="Arial Narrow" w:cs="Arial"/>
                <w:sz w:val="22"/>
                <w:szCs w:val="22"/>
              </w:rPr>
              <w:t>solo alcanzan</w:t>
            </w:r>
            <w:r w:rsidR="00387A3B">
              <w:rPr>
                <w:rFonts w:ascii="Arial Narrow" w:hAnsi="Arial Narrow" w:cs="Arial"/>
                <w:sz w:val="22"/>
                <w:szCs w:val="22"/>
              </w:rPr>
              <w:t xml:space="preserve"> el</w:t>
            </w:r>
            <w:r w:rsidRPr="00541B3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A26FFF" w:rsidRPr="00A26FFF">
              <w:rPr>
                <w:rFonts w:ascii="Arial Narrow" w:hAnsi="Arial Narrow" w:cs="Arial"/>
                <w:b/>
                <w:sz w:val="22"/>
                <w:szCs w:val="22"/>
              </w:rPr>
              <w:t>10.62%.</w:t>
            </w:r>
            <w:r w:rsidRPr="00541B3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</w:p>
          <w:p w:rsidR="00A26FFF" w:rsidRDefault="00A26FFF" w:rsidP="00A26FFF">
            <w:pPr>
              <w:pStyle w:val="Prrafodelista"/>
              <w:spacing w:after="0" w:line="360" w:lineRule="auto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:rsidR="00EA3B04" w:rsidRDefault="00EA3B04" w:rsidP="00EA3B04">
            <w:pPr>
              <w:numPr>
                <w:ilvl w:val="0"/>
                <w:numId w:val="28"/>
              </w:numPr>
              <w:spacing w:after="0" w:line="360" w:lineRule="auto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41B3D">
              <w:rPr>
                <w:rFonts w:ascii="Arial Narrow" w:hAnsi="Arial Narrow" w:cs="Arial"/>
                <w:sz w:val="22"/>
                <w:szCs w:val="22"/>
              </w:rPr>
              <w:t xml:space="preserve">Frente a la apropiación </w:t>
            </w:r>
            <w:r>
              <w:rPr>
                <w:rFonts w:ascii="Arial Narrow" w:hAnsi="Arial Narrow" w:cs="Arial"/>
                <w:sz w:val="22"/>
                <w:szCs w:val="22"/>
              </w:rPr>
              <w:t>sin comprometer,</w:t>
            </w:r>
            <w:r w:rsidR="00A26FFF">
              <w:rPr>
                <w:rFonts w:ascii="Arial Narrow" w:hAnsi="Arial Narrow" w:cs="Arial"/>
                <w:sz w:val="22"/>
                <w:szCs w:val="22"/>
              </w:rPr>
              <w:t xml:space="preserve"> se observa</w:t>
            </w:r>
            <w:r w:rsidRPr="00541B3D">
              <w:rPr>
                <w:rFonts w:ascii="Arial Narrow" w:hAnsi="Arial Narrow" w:cs="Arial"/>
                <w:sz w:val="22"/>
                <w:szCs w:val="22"/>
              </w:rPr>
              <w:t xml:space="preserve"> que aún se presenta la debilidad de mantener recursos </w:t>
            </w:r>
            <w:r>
              <w:rPr>
                <w:rFonts w:ascii="Arial Narrow" w:hAnsi="Arial Narrow" w:cs="Arial"/>
                <w:sz w:val="22"/>
                <w:szCs w:val="22"/>
              </w:rPr>
              <w:t>en certifica</w:t>
            </w:r>
            <w:r w:rsidR="00A26FFF">
              <w:rPr>
                <w:rFonts w:ascii="Arial Narrow" w:hAnsi="Arial Narrow" w:cs="Arial"/>
                <w:sz w:val="22"/>
                <w:szCs w:val="22"/>
              </w:rPr>
              <w:t xml:space="preserve">do de disponibilidad </w:t>
            </w:r>
            <w:r w:rsidR="00387A3B">
              <w:rPr>
                <w:rFonts w:ascii="Arial Narrow" w:hAnsi="Arial Narrow" w:cs="Arial"/>
                <w:sz w:val="22"/>
                <w:szCs w:val="22"/>
              </w:rPr>
              <w:t xml:space="preserve">con expedición mayor a 90 días, </w:t>
            </w:r>
            <w:r w:rsidR="00A26FFF">
              <w:rPr>
                <w:rFonts w:ascii="Arial Narrow" w:hAnsi="Arial Narrow" w:cs="Arial"/>
                <w:sz w:val="22"/>
                <w:szCs w:val="22"/>
              </w:rPr>
              <w:t xml:space="preserve">cuyo valor asciende a la suma de </w:t>
            </w:r>
            <w:r w:rsidR="00387A3B">
              <w:rPr>
                <w:rFonts w:ascii="Arial Narrow" w:hAnsi="Arial Narrow" w:cs="Arial"/>
                <w:sz w:val="22"/>
                <w:szCs w:val="22"/>
              </w:rPr>
              <w:t>$116 mil millones.</w:t>
            </w:r>
          </w:p>
          <w:p w:rsidR="00387A3B" w:rsidRDefault="00387A3B" w:rsidP="00387A3B">
            <w:pPr>
              <w:spacing w:after="0" w:line="360" w:lineRule="auto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:rsidR="00387A3B" w:rsidRPr="00387A3B" w:rsidRDefault="00387A3B" w:rsidP="00EA3B04">
            <w:pPr>
              <w:numPr>
                <w:ilvl w:val="0"/>
                <w:numId w:val="28"/>
              </w:numPr>
              <w:spacing w:after="0" w:line="360" w:lineRule="auto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En lo relacionado con las reservas de apropiación y cuentas por pagar el panorama es diferente, se observa que las primeras muestran un nivel de ejecución del </w:t>
            </w:r>
            <w:r w:rsidRPr="00387A3B">
              <w:rPr>
                <w:rFonts w:ascii="Arial Narrow" w:hAnsi="Arial Narrow" w:cs="Arial"/>
                <w:b/>
                <w:sz w:val="22"/>
                <w:szCs w:val="22"/>
              </w:rPr>
              <w:t>95.83%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y las segundas el indicador es del </w:t>
            </w:r>
            <w:r w:rsidRPr="00387A3B">
              <w:rPr>
                <w:rFonts w:ascii="Arial Narrow" w:hAnsi="Arial Narrow" w:cs="Arial"/>
                <w:b/>
                <w:sz w:val="22"/>
                <w:szCs w:val="22"/>
              </w:rPr>
              <w:t>99.99%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. </w:t>
            </w:r>
            <w:r w:rsidRPr="00387A3B">
              <w:rPr>
                <w:rFonts w:ascii="Arial Narrow" w:hAnsi="Arial Narrow" w:cs="Arial"/>
                <w:sz w:val="22"/>
                <w:szCs w:val="22"/>
              </w:rPr>
              <w:t>En reservas</w:t>
            </w:r>
            <w:r>
              <w:rPr>
                <w:rFonts w:ascii="Arial Narrow" w:hAnsi="Arial Narrow" w:cs="Arial"/>
                <w:sz w:val="22"/>
                <w:szCs w:val="22"/>
              </w:rPr>
              <w:t>,</w:t>
            </w:r>
            <w:r w:rsidRPr="00387A3B">
              <w:rPr>
                <w:rFonts w:ascii="Arial Narrow" w:hAnsi="Arial Narrow" w:cs="Arial"/>
                <w:sz w:val="22"/>
                <w:szCs w:val="22"/>
              </w:rPr>
              <w:t xml:space="preserve"> aún queda un monto importante por ejecutar</w:t>
            </w:r>
            <w:r>
              <w:rPr>
                <w:rFonts w:ascii="Arial Narrow" w:hAnsi="Arial Narrow" w:cs="Arial"/>
                <w:sz w:val="22"/>
                <w:szCs w:val="22"/>
              </w:rPr>
              <w:t>,</w:t>
            </w:r>
            <w:r w:rsidRPr="00387A3B">
              <w:rPr>
                <w:rFonts w:ascii="Arial Narrow" w:hAnsi="Arial Narrow" w:cs="Arial"/>
                <w:sz w:val="22"/>
                <w:szCs w:val="22"/>
              </w:rPr>
              <w:t xml:space="preserve"> que asciende a la suma de $13.8 mil millones</w:t>
            </w:r>
            <w:r>
              <w:rPr>
                <w:rFonts w:ascii="Arial Narrow" w:hAnsi="Arial Narrow" w:cs="Arial"/>
                <w:sz w:val="22"/>
                <w:szCs w:val="22"/>
              </w:rPr>
              <w:t>.</w:t>
            </w:r>
          </w:p>
          <w:p w:rsidR="00387A3B" w:rsidRDefault="00387A3B" w:rsidP="00387A3B">
            <w:pPr>
              <w:pStyle w:val="Prrafodelista"/>
              <w:rPr>
                <w:rFonts w:ascii="Arial Narrow" w:hAnsi="Arial Narrow" w:cs="Arial"/>
                <w:sz w:val="22"/>
                <w:szCs w:val="22"/>
              </w:rPr>
            </w:pPr>
          </w:p>
          <w:p w:rsidR="00EA3B04" w:rsidRPr="00541B3D" w:rsidRDefault="00387A3B" w:rsidP="00EA3B04">
            <w:pPr>
              <w:numPr>
                <w:ilvl w:val="0"/>
                <w:numId w:val="28"/>
              </w:numPr>
              <w:spacing w:after="0" w:line="360" w:lineRule="auto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Finalmente se hace necesario fortalecer</w:t>
            </w:r>
            <w:r w:rsidR="00EA3B04" w:rsidRPr="00541B3D">
              <w:rPr>
                <w:rFonts w:ascii="Arial Narrow" w:hAnsi="Arial Narrow" w:cs="Arial"/>
                <w:sz w:val="22"/>
                <w:szCs w:val="22"/>
              </w:rPr>
              <w:t xml:space="preserve"> los mecanismos de autocontrol </w:t>
            </w:r>
            <w:r w:rsidR="0044588B">
              <w:rPr>
                <w:rFonts w:ascii="Arial Narrow" w:hAnsi="Arial Narrow" w:cs="Arial"/>
                <w:sz w:val="22"/>
                <w:szCs w:val="22"/>
              </w:rPr>
              <w:t xml:space="preserve">frente al manejo 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de la ejecución </w:t>
            </w:r>
            <w:r w:rsidR="0044588B">
              <w:rPr>
                <w:rFonts w:ascii="Arial Narrow" w:hAnsi="Arial Narrow" w:cs="Arial"/>
                <w:sz w:val="22"/>
                <w:szCs w:val="22"/>
              </w:rPr>
              <w:t>presupuestal</w:t>
            </w:r>
            <w:r>
              <w:rPr>
                <w:rFonts w:ascii="Arial Narrow" w:hAnsi="Arial Narrow" w:cs="Arial"/>
                <w:sz w:val="22"/>
                <w:szCs w:val="22"/>
              </w:rPr>
              <w:t>, así mismo, se hace obligatorio establecer un plan de choque y seguimiento, que permita e</w:t>
            </w:r>
            <w:r w:rsidR="0044588B">
              <w:rPr>
                <w:rFonts w:ascii="Arial Narrow" w:hAnsi="Arial Narrow" w:cs="Arial"/>
                <w:sz w:val="22"/>
                <w:szCs w:val="22"/>
              </w:rPr>
              <w:t>videnciar al finalizar la vigencia una ejecución óptima de los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recursos asignados a la Unidad, más aún si t</w:t>
            </w:r>
            <w:r w:rsidR="000F73EB">
              <w:rPr>
                <w:rFonts w:ascii="Arial Narrow" w:hAnsi="Arial Narrow" w:cs="Arial"/>
                <w:sz w:val="22"/>
                <w:szCs w:val="22"/>
              </w:rPr>
              <w:t>enemos en cuenta que la Ley de G</w:t>
            </w:r>
            <w:r>
              <w:rPr>
                <w:rFonts w:ascii="Arial Narrow" w:hAnsi="Arial Narrow" w:cs="Arial"/>
                <w:sz w:val="22"/>
                <w:szCs w:val="22"/>
              </w:rPr>
              <w:t>arantías inicia en el mes de octubre de 2017.</w:t>
            </w:r>
          </w:p>
          <w:p w:rsidR="00FA0B64" w:rsidRDefault="00FA0B64" w:rsidP="00FA0B64">
            <w:pPr>
              <w:spacing w:after="0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:rsidR="00822FE4" w:rsidRPr="00607E1B" w:rsidRDefault="00822FE4" w:rsidP="00FA0B64">
            <w:pPr>
              <w:spacing w:after="0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:rsidR="00FA0B64" w:rsidRDefault="00FA0B64" w:rsidP="00FA0B64">
            <w:pPr>
              <w:ind w:right="-1"/>
              <w:rPr>
                <w:rFonts w:ascii="Arial Narrow" w:hAnsi="Arial Narrow" w:cs="Arial"/>
                <w:sz w:val="22"/>
                <w:szCs w:val="22"/>
              </w:rPr>
            </w:pPr>
            <w:r w:rsidRPr="00607E1B">
              <w:rPr>
                <w:rFonts w:ascii="Arial Narrow" w:hAnsi="Arial Narrow" w:cs="Arial"/>
                <w:sz w:val="22"/>
                <w:szCs w:val="22"/>
              </w:rPr>
              <w:t>Cordialmente,</w:t>
            </w:r>
          </w:p>
          <w:p w:rsidR="00FA0B64" w:rsidRDefault="00FA0B64" w:rsidP="00FA0B64">
            <w:pPr>
              <w:ind w:right="-1"/>
              <w:rPr>
                <w:rFonts w:ascii="Arial Narrow" w:hAnsi="Arial Narrow" w:cs="Arial"/>
                <w:sz w:val="22"/>
                <w:szCs w:val="22"/>
              </w:rPr>
            </w:pPr>
          </w:p>
          <w:p w:rsidR="00822FE4" w:rsidRDefault="00822FE4" w:rsidP="00FA0B64">
            <w:pPr>
              <w:ind w:right="-1"/>
              <w:rPr>
                <w:rFonts w:ascii="Arial Narrow" w:hAnsi="Arial Narrow" w:cs="Arial"/>
                <w:sz w:val="22"/>
                <w:szCs w:val="22"/>
              </w:rPr>
            </w:pPr>
          </w:p>
          <w:p w:rsidR="00FA0B64" w:rsidRDefault="00FA0B64" w:rsidP="00FA0B64">
            <w:pPr>
              <w:spacing w:after="0"/>
              <w:ind w:left="142" w:right="-1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FA0B64" w:rsidRPr="00E618FD" w:rsidRDefault="00FA0B64" w:rsidP="00822FE4">
            <w:pPr>
              <w:spacing w:after="0"/>
              <w:ind w:left="33" w:right="-1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E618FD">
              <w:rPr>
                <w:rFonts w:ascii="Arial Narrow" w:hAnsi="Arial Narrow" w:cs="Arial"/>
                <w:b/>
                <w:sz w:val="22"/>
                <w:szCs w:val="22"/>
              </w:rPr>
              <w:t>DIEGO HERNANDO SANTACRUZ SANTACRUZ</w:t>
            </w:r>
          </w:p>
          <w:p w:rsidR="00FA0B64" w:rsidRPr="00E618FD" w:rsidRDefault="00FA0B64" w:rsidP="00822FE4">
            <w:pPr>
              <w:spacing w:after="0"/>
              <w:ind w:left="33" w:right="-1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E618FD">
              <w:rPr>
                <w:rFonts w:ascii="Arial Narrow" w:hAnsi="Arial Narrow" w:cs="Arial"/>
                <w:b/>
                <w:sz w:val="22"/>
                <w:szCs w:val="22"/>
              </w:rPr>
              <w:t>Jefe Oficina de Control Interno</w:t>
            </w:r>
          </w:p>
          <w:p w:rsidR="00FA0B64" w:rsidRDefault="00FA0B64" w:rsidP="00822FE4">
            <w:pPr>
              <w:spacing w:after="0"/>
              <w:ind w:left="33" w:right="-1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E618FD">
              <w:rPr>
                <w:rFonts w:ascii="Arial Narrow" w:hAnsi="Arial Narrow" w:cs="Arial"/>
                <w:b/>
                <w:sz w:val="22"/>
                <w:szCs w:val="22"/>
              </w:rPr>
              <w:t>Unidad para la Atención y Reparación Integral a Víctimas</w:t>
            </w:r>
          </w:p>
          <w:p w:rsidR="00FA0B64" w:rsidRDefault="00FA0B64" w:rsidP="00FA0B64">
            <w:pPr>
              <w:spacing w:after="0"/>
              <w:ind w:left="142" w:right="-1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FA0B64" w:rsidRPr="00E618FD" w:rsidRDefault="00FA0B64" w:rsidP="00FA0B64">
            <w:pPr>
              <w:spacing w:after="0"/>
              <w:ind w:left="142" w:right="-1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</w:tbl>
    <w:p w:rsidR="00DD2063" w:rsidRDefault="00DD2063" w:rsidP="00DD2063">
      <w:pPr>
        <w:spacing w:after="0"/>
        <w:rPr>
          <w:rFonts w:ascii="Arial Narrow" w:hAnsi="Arial Narrow"/>
          <w:b/>
        </w:rPr>
      </w:pPr>
    </w:p>
    <w:p w:rsidR="00430BB9" w:rsidRDefault="00430BB9" w:rsidP="00DD2063">
      <w:pPr>
        <w:spacing w:after="0"/>
        <w:rPr>
          <w:rFonts w:ascii="Arial Narrow" w:hAnsi="Arial Narrow"/>
          <w:b/>
        </w:rPr>
      </w:pPr>
    </w:p>
    <w:sectPr w:rsidR="00430BB9" w:rsidSect="0082203A">
      <w:headerReference w:type="even" r:id="rId12"/>
      <w:headerReference w:type="default" r:id="rId13"/>
      <w:headerReference w:type="first" r:id="rId14"/>
      <w:pgSz w:w="12240" w:h="15840"/>
      <w:pgMar w:top="1191" w:right="1304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4BDB" w:rsidRDefault="00C04BDB">
      <w:pPr>
        <w:spacing w:after="0"/>
      </w:pPr>
      <w:r>
        <w:separator/>
      </w:r>
    </w:p>
  </w:endnote>
  <w:endnote w:type="continuationSeparator" w:id="0">
    <w:p w:rsidR="00C04BDB" w:rsidRDefault="00C04BD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4BDB" w:rsidRDefault="00C04BDB">
      <w:pPr>
        <w:spacing w:after="0"/>
      </w:pPr>
      <w:r>
        <w:separator/>
      </w:r>
    </w:p>
  </w:footnote>
  <w:footnote w:type="continuationSeparator" w:id="0">
    <w:p w:rsidR="00C04BDB" w:rsidRDefault="00C04BD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6A3D" w:rsidRDefault="00DE6A3D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15" name="Imagen 15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6A3D" w:rsidRDefault="00DE6A3D">
    <w:pPr>
      <w:pStyle w:val="Encabezado"/>
      <w:jc w:val="right"/>
    </w:pPr>
  </w:p>
  <w:tbl>
    <w:tblPr>
      <w:tblW w:w="10614" w:type="dxa"/>
      <w:tblInd w:w="-601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Layout w:type="fixed"/>
      <w:tblLook w:val="04A0" w:firstRow="1" w:lastRow="0" w:firstColumn="1" w:lastColumn="0" w:noHBand="0" w:noVBand="1"/>
    </w:tblPr>
    <w:tblGrid>
      <w:gridCol w:w="3306"/>
      <w:gridCol w:w="4962"/>
      <w:gridCol w:w="2346"/>
    </w:tblGrid>
    <w:tr w:rsidR="00DE6A3D" w:rsidTr="00616FB2">
      <w:trPr>
        <w:trHeight w:val="844"/>
      </w:trPr>
      <w:tc>
        <w:tcPr>
          <w:tcW w:w="3306" w:type="dxa"/>
          <w:vMerge w:val="restart"/>
        </w:tcPr>
        <w:p w:rsidR="00DE6A3D" w:rsidRDefault="00DE6A3D" w:rsidP="0060122A">
          <w:pPr>
            <w:pStyle w:val="Encabezado"/>
            <w:jc w:val="center"/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62848" behindDoc="0" locked="0" layoutInCell="1" allowOverlap="1" wp14:anchorId="010A248E" wp14:editId="7D29143A">
                <wp:simplePos x="0" y="0"/>
                <wp:positionH relativeFrom="margin">
                  <wp:align>center</wp:align>
                </wp:positionH>
                <wp:positionV relativeFrom="margin">
                  <wp:posOffset>192100</wp:posOffset>
                </wp:positionV>
                <wp:extent cx="1713600" cy="496800"/>
                <wp:effectExtent l="0" t="0" r="0" b="0"/>
                <wp:wrapNone/>
                <wp:docPr id="18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orizonta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3600" cy="49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962" w:type="dxa"/>
          <w:vAlign w:val="center"/>
        </w:tcPr>
        <w:p w:rsidR="00DE6A3D" w:rsidRPr="009B12B0" w:rsidRDefault="00DE6A3D" w:rsidP="0060122A">
          <w:pPr>
            <w:pStyle w:val="Encabezad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b/>
              <w:noProof/>
              <w:lang w:eastAsia="es-CO"/>
            </w:rPr>
            <w:t>INFORME DE SEGUIMIENTO</w:t>
          </w:r>
        </w:p>
      </w:tc>
      <w:tc>
        <w:tcPr>
          <w:tcW w:w="2346" w:type="dxa"/>
          <w:vMerge w:val="restart"/>
          <w:vAlign w:val="center"/>
        </w:tcPr>
        <w:p w:rsidR="00DE6A3D" w:rsidRPr="00075304" w:rsidRDefault="00DE6A3D" w:rsidP="0060122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CÓDIGO</w:t>
          </w:r>
          <w:r>
            <w:rPr>
              <w:rFonts w:ascii="Arial" w:hAnsi="Arial" w:cs="Arial"/>
              <w:b/>
              <w:sz w:val="16"/>
              <w:szCs w:val="22"/>
            </w:rPr>
            <w:t>: 150.19.15-10</w:t>
          </w:r>
        </w:p>
        <w:p w:rsidR="00DE6A3D" w:rsidRPr="00075304" w:rsidRDefault="00DE6A3D" w:rsidP="0060122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:rsidR="00DE6A3D" w:rsidRPr="00075304" w:rsidRDefault="00DE6A3D" w:rsidP="0060122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VERSIÓN</w:t>
          </w:r>
          <w:r>
            <w:rPr>
              <w:rFonts w:ascii="Arial" w:hAnsi="Arial" w:cs="Arial"/>
              <w:b/>
              <w:sz w:val="16"/>
              <w:szCs w:val="22"/>
            </w:rPr>
            <w:t>: 02</w:t>
          </w:r>
        </w:p>
        <w:p w:rsidR="00DE6A3D" w:rsidRPr="00075304" w:rsidRDefault="00DE6A3D" w:rsidP="0060122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:rsidR="00DE6A3D" w:rsidRPr="0060122A" w:rsidRDefault="00DE6A3D" w:rsidP="0060122A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FECHA</w:t>
          </w:r>
          <w:r>
            <w:rPr>
              <w:rFonts w:ascii="Arial" w:hAnsi="Arial" w:cs="Arial"/>
              <w:b/>
              <w:sz w:val="16"/>
              <w:szCs w:val="22"/>
            </w:rPr>
            <w:t>: 09/03/2015</w:t>
          </w:r>
        </w:p>
        <w:p w:rsidR="00DE6A3D" w:rsidRPr="0060122A" w:rsidRDefault="00DE6A3D" w:rsidP="0060122A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  <w:p w:rsidR="00DE6A3D" w:rsidRPr="0060122A" w:rsidRDefault="00983C3E" w:rsidP="0060122A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sdt>
            <w:sdtPr>
              <w:rPr>
                <w:rFonts w:ascii="Arial" w:hAnsi="Arial" w:cs="Arial"/>
                <w:sz w:val="16"/>
                <w:szCs w:val="16"/>
              </w:rPr>
              <w:id w:val="-1318336367"/>
              <w:docPartObj>
                <w:docPartGallery w:val="Page Numbers (Top of Page)"/>
                <w:docPartUnique/>
              </w:docPartObj>
            </w:sdtPr>
            <w:sdtEndPr>
              <w:rPr>
                <w:b/>
              </w:rPr>
            </w:sdtEndPr>
            <w:sdtContent>
              <w:r w:rsidR="00DE6A3D" w:rsidRPr="0060122A">
                <w:rPr>
                  <w:rFonts w:ascii="Arial" w:hAnsi="Arial" w:cs="Arial"/>
                  <w:b/>
                  <w:sz w:val="16"/>
                  <w:szCs w:val="16"/>
                  <w:lang w:val="es-ES"/>
                </w:rPr>
                <w:t>PÁGINA</w:t>
              </w:r>
              <w:r w:rsidR="00DE6A3D">
                <w:rPr>
                  <w:rFonts w:ascii="Arial" w:hAnsi="Arial" w:cs="Arial"/>
                  <w:b/>
                  <w:sz w:val="16"/>
                  <w:szCs w:val="16"/>
                  <w:lang w:val="es-ES"/>
                </w:rPr>
                <w:t>:</w:t>
              </w:r>
              <w:r w:rsidR="00DE6A3D" w:rsidRPr="0060122A">
                <w:rPr>
                  <w:rFonts w:ascii="Arial" w:hAnsi="Arial" w:cs="Arial"/>
                  <w:b/>
                  <w:sz w:val="16"/>
                  <w:szCs w:val="16"/>
                  <w:lang w:val="es-ES"/>
                </w:rPr>
                <w:t xml:space="preserve"> </w:t>
              </w:r>
              <w:r w:rsidR="00DE6A3D"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begin"/>
              </w:r>
              <w:r w:rsidR="00DE6A3D"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instrText>PAGE</w:instrText>
              </w:r>
              <w:r w:rsidR="00DE6A3D"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separate"/>
              </w:r>
              <w:r>
                <w:rPr>
                  <w:rFonts w:ascii="Arial" w:hAnsi="Arial" w:cs="Arial"/>
                  <w:b/>
                  <w:bCs/>
                  <w:noProof/>
                  <w:sz w:val="16"/>
                  <w:szCs w:val="16"/>
                </w:rPr>
                <w:t>1</w:t>
              </w:r>
              <w:r w:rsidR="00DE6A3D"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end"/>
              </w:r>
              <w:r w:rsidR="00DE6A3D" w:rsidRPr="0060122A">
                <w:rPr>
                  <w:rFonts w:ascii="Arial" w:hAnsi="Arial" w:cs="Arial"/>
                  <w:b/>
                  <w:sz w:val="16"/>
                  <w:szCs w:val="16"/>
                  <w:lang w:val="es-ES"/>
                </w:rPr>
                <w:t xml:space="preserve"> de </w:t>
              </w:r>
              <w:r w:rsidR="00DE6A3D"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begin"/>
              </w:r>
              <w:r w:rsidR="00DE6A3D"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instrText>NUMPAGES</w:instrText>
              </w:r>
              <w:r w:rsidR="00DE6A3D"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separate"/>
              </w:r>
              <w:r>
                <w:rPr>
                  <w:rFonts w:ascii="Arial" w:hAnsi="Arial" w:cs="Arial"/>
                  <w:b/>
                  <w:bCs/>
                  <w:noProof/>
                  <w:sz w:val="16"/>
                  <w:szCs w:val="16"/>
                </w:rPr>
                <w:t>4</w:t>
              </w:r>
              <w:r w:rsidR="00DE6A3D"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end"/>
              </w:r>
            </w:sdtContent>
          </w:sdt>
        </w:p>
        <w:p w:rsidR="00DE6A3D" w:rsidRPr="00171E31" w:rsidRDefault="00DE6A3D" w:rsidP="0060122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171E31">
            <w:rPr>
              <w:rFonts w:ascii="Arial" w:hAnsi="Arial" w:cs="Arial"/>
              <w:b/>
              <w:sz w:val="16"/>
              <w:szCs w:val="22"/>
            </w:rPr>
            <w:t xml:space="preserve"> </w:t>
          </w:r>
        </w:p>
      </w:tc>
    </w:tr>
    <w:tr w:rsidR="00DE6A3D" w:rsidTr="00616FB2">
      <w:trPr>
        <w:trHeight w:val="557"/>
      </w:trPr>
      <w:tc>
        <w:tcPr>
          <w:tcW w:w="3306" w:type="dxa"/>
          <w:vMerge/>
        </w:tcPr>
        <w:p w:rsidR="00DE6A3D" w:rsidRDefault="00DE6A3D" w:rsidP="0060122A">
          <w:pPr>
            <w:pStyle w:val="Encabezado"/>
            <w:jc w:val="center"/>
            <w:rPr>
              <w:noProof/>
              <w:lang w:val="es-CO" w:eastAsia="es-CO"/>
            </w:rPr>
          </w:pPr>
        </w:p>
      </w:tc>
      <w:tc>
        <w:tcPr>
          <w:tcW w:w="4962" w:type="dxa"/>
          <w:vAlign w:val="center"/>
        </w:tcPr>
        <w:p w:rsidR="00DE6A3D" w:rsidRDefault="00DE6A3D" w:rsidP="0060122A">
          <w:pPr>
            <w:pStyle w:val="Encabezado"/>
            <w:jc w:val="center"/>
            <w:rPr>
              <w:rFonts w:ascii="Arial" w:hAnsi="Arial" w:cs="Arial"/>
              <w:b/>
              <w:sz w:val="22"/>
            </w:rPr>
          </w:pPr>
          <w:r>
            <w:rPr>
              <w:rFonts w:ascii="Arial" w:hAnsi="Arial" w:cs="Arial"/>
              <w:b/>
              <w:sz w:val="14"/>
            </w:rPr>
            <w:t>PROCESO EVALUACIÓN INDEPENDIENTE</w:t>
          </w:r>
        </w:p>
      </w:tc>
      <w:tc>
        <w:tcPr>
          <w:tcW w:w="2346" w:type="dxa"/>
          <w:vMerge/>
          <w:vAlign w:val="center"/>
        </w:tcPr>
        <w:p w:rsidR="00DE6A3D" w:rsidRPr="005174B1" w:rsidRDefault="00DE6A3D" w:rsidP="0060122A">
          <w:pPr>
            <w:pStyle w:val="Encabezado"/>
            <w:rPr>
              <w:rFonts w:ascii="Arial" w:hAnsi="Arial" w:cs="Arial"/>
              <w:b/>
              <w:sz w:val="20"/>
              <w:szCs w:val="22"/>
            </w:rPr>
          </w:pPr>
        </w:p>
      </w:tc>
    </w:tr>
  </w:tbl>
  <w:p w:rsidR="00DE6A3D" w:rsidRPr="00BB156A" w:rsidRDefault="00DE6A3D" w:rsidP="00AF28B3">
    <w:pPr>
      <w:pStyle w:val="Encabezado"/>
      <w:tabs>
        <w:tab w:val="clear" w:pos="8504"/>
        <w:tab w:val="left" w:pos="4956"/>
        <w:tab w:val="left" w:pos="5664"/>
        <w:tab w:val="left" w:pos="6372"/>
      </w:tabs>
      <w:jc w:val="center"/>
      <w:rPr>
        <w:sz w:val="15"/>
        <w:szCs w:val="15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6A3D" w:rsidRDefault="00DE6A3D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19" name="Imagen 19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F137B"/>
    <w:multiLevelType w:val="hybridMultilevel"/>
    <w:tmpl w:val="6220BE4C"/>
    <w:lvl w:ilvl="0" w:tplc="0C0A0015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9F17BB"/>
    <w:multiLevelType w:val="hybridMultilevel"/>
    <w:tmpl w:val="2CD2C9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B51BCE"/>
    <w:multiLevelType w:val="hybridMultilevel"/>
    <w:tmpl w:val="AE849F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9D1FD8"/>
    <w:multiLevelType w:val="hybridMultilevel"/>
    <w:tmpl w:val="ADF2AB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F8558C"/>
    <w:multiLevelType w:val="hybridMultilevel"/>
    <w:tmpl w:val="B0EE3E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622575"/>
    <w:multiLevelType w:val="hybridMultilevel"/>
    <w:tmpl w:val="BCC8F832"/>
    <w:lvl w:ilvl="0" w:tplc="FE98D5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</w:r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5645C28"/>
    <w:multiLevelType w:val="hybridMultilevel"/>
    <w:tmpl w:val="920A24BE"/>
    <w:lvl w:ilvl="0" w:tplc="5A2A8AEA">
      <w:start w:val="1"/>
      <w:numFmt w:val="bullet"/>
      <w:lvlText w:val=""/>
      <w:lvlJc w:val="left"/>
      <w:pPr>
        <w:tabs>
          <w:tab w:val="num" w:pos="170"/>
        </w:tabs>
        <w:ind w:left="170" w:hanging="170"/>
      </w:pPr>
      <w:rPr>
        <w:rFonts w:ascii="Wingdings 2" w:hAnsi="Wingdings 2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B4100C"/>
    <w:multiLevelType w:val="hybridMultilevel"/>
    <w:tmpl w:val="7BE44D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4F3D72"/>
    <w:multiLevelType w:val="multilevel"/>
    <w:tmpl w:val="8D9C0A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>
    <w:nsid w:val="24700D06"/>
    <w:multiLevelType w:val="hybridMultilevel"/>
    <w:tmpl w:val="8E50F5D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4E2276E"/>
    <w:multiLevelType w:val="hybridMultilevel"/>
    <w:tmpl w:val="B85C1AF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390E32"/>
    <w:multiLevelType w:val="hybridMultilevel"/>
    <w:tmpl w:val="7CDCA4CE"/>
    <w:lvl w:ilvl="0" w:tplc="3C0267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132B73"/>
    <w:multiLevelType w:val="hybridMultilevel"/>
    <w:tmpl w:val="45D457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CD3031"/>
    <w:multiLevelType w:val="hybridMultilevel"/>
    <w:tmpl w:val="6D722080"/>
    <w:lvl w:ilvl="0" w:tplc="3C0267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D469E9"/>
    <w:multiLevelType w:val="hybridMultilevel"/>
    <w:tmpl w:val="CEDA37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4F4ABA"/>
    <w:multiLevelType w:val="hybridMultilevel"/>
    <w:tmpl w:val="14C8A2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9957AB"/>
    <w:multiLevelType w:val="hybridMultilevel"/>
    <w:tmpl w:val="18BE7BDE"/>
    <w:lvl w:ilvl="0" w:tplc="0C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>
    <w:nsid w:val="32F05353"/>
    <w:multiLevelType w:val="hybridMultilevel"/>
    <w:tmpl w:val="9C88975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9C7E33"/>
    <w:multiLevelType w:val="hybridMultilevel"/>
    <w:tmpl w:val="C0FE762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0E4A2F"/>
    <w:multiLevelType w:val="multilevel"/>
    <w:tmpl w:val="E47C19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39A65D32"/>
    <w:multiLevelType w:val="hybridMultilevel"/>
    <w:tmpl w:val="23000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A5407E"/>
    <w:multiLevelType w:val="hybridMultilevel"/>
    <w:tmpl w:val="D0BC6D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D85512"/>
    <w:multiLevelType w:val="hybridMultilevel"/>
    <w:tmpl w:val="A96C1E1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E57795"/>
    <w:multiLevelType w:val="hybridMultilevel"/>
    <w:tmpl w:val="DE9474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5A31A7"/>
    <w:multiLevelType w:val="hybridMultilevel"/>
    <w:tmpl w:val="13308F1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6545E5"/>
    <w:multiLevelType w:val="hybridMultilevel"/>
    <w:tmpl w:val="E60044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915684"/>
    <w:multiLevelType w:val="hybridMultilevel"/>
    <w:tmpl w:val="AF5024D2"/>
    <w:lvl w:ilvl="0" w:tplc="85DA9C6A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251171"/>
    <w:multiLevelType w:val="hybridMultilevel"/>
    <w:tmpl w:val="A8B0FFF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549B00E8"/>
    <w:multiLevelType w:val="hybridMultilevel"/>
    <w:tmpl w:val="0AA6E2BE"/>
    <w:lvl w:ilvl="0" w:tplc="0C0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9">
    <w:nsid w:val="5E0651C4"/>
    <w:multiLevelType w:val="multilevel"/>
    <w:tmpl w:val="8D9C0A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0">
    <w:nsid w:val="60281BB7"/>
    <w:multiLevelType w:val="hybridMultilevel"/>
    <w:tmpl w:val="F43C55B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1216F13"/>
    <w:multiLevelType w:val="hybridMultilevel"/>
    <w:tmpl w:val="FEB06EE2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2935CF5"/>
    <w:multiLevelType w:val="hybridMultilevel"/>
    <w:tmpl w:val="EB1EA0E6"/>
    <w:lvl w:ilvl="0" w:tplc="221AB44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3">
    <w:nsid w:val="62982CD2"/>
    <w:multiLevelType w:val="hybridMultilevel"/>
    <w:tmpl w:val="8F4AAAC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B632FA"/>
    <w:multiLevelType w:val="hybridMultilevel"/>
    <w:tmpl w:val="A1C0AA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FD36C4"/>
    <w:multiLevelType w:val="hybridMultilevel"/>
    <w:tmpl w:val="7F520326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7B70781"/>
    <w:multiLevelType w:val="hybridMultilevel"/>
    <w:tmpl w:val="060C4B3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C056C7"/>
    <w:multiLevelType w:val="multilevel"/>
    <w:tmpl w:val="7882B3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796F5F58"/>
    <w:multiLevelType w:val="hybridMultilevel"/>
    <w:tmpl w:val="E35241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C255ADB"/>
    <w:multiLevelType w:val="hybridMultilevel"/>
    <w:tmpl w:val="028860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6447D7"/>
    <w:multiLevelType w:val="hybridMultilevel"/>
    <w:tmpl w:val="31A851F2"/>
    <w:lvl w:ilvl="0" w:tplc="3F027AFA">
      <w:start w:val="1"/>
      <w:numFmt w:val="lowerRoman"/>
      <w:lvlText w:val="%1)"/>
      <w:lvlJc w:val="left"/>
      <w:pPr>
        <w:ind w:left="1080" w:hanging="72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667F44"/>
    <w:multiLevelType w:val="hybridMultilevel"/>
    <w:tmpl w:val="3ECC9E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F483147"/>
    <w:multiLevelType w:val="multilevel"/>
    <w:tmpl w:val="ED8247D6"/>
    <w:lvl w:ilvl="0">
      <w:start w:val="1"/>
      <w:numFmt w:val="decimal"/>
      <w:lvlText w:val="%1."/>
      <w:lvlJc w:val="left"/>
      <w:pPr>
        <w:ind w:left="-49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7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432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64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4504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57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657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7792" w:hanging="1800"/>
      </w:pPr>
      <w:rPr>
        <w:rFonts w:hint="default"/>
        <w:b/>
      </w:rPr>
    </w:lvl>
  </w:abstractNum>
  <w:num w:numId="1">
    <w:abstractNumId w:val="32"/>
  </w:num>
  <w:num w:numId="2">
    <w:abstractNumId w:val="5"/>
  </w:num>
  <w:num w:numId="3">
    <w:abstractNumId w:val="14"/>
  </w:num>
  <w:num w:numId="4">
    <w:abstractNumId w:val="23"/>
  </w:num>
  <w:num w:numId="5">
    <w:abstractNumId w:val="41"/>
  </w:num>
  <w:num w:numId="6">
    <w:abstractNumId w:val="27"/>
  </w:num>
  <w:num w:numId="7">
    <w:abstractNumId w:val="20"/>
  </w:num>
  <w:num w:numId="8">
    <w:abstractNumId w:val="13"/>
  </w:num>
  <w:num w:numId="9">
    <w:abstractNumId w:val="11"/>
  </w:num>
  <w:num w:numId="10">
    <w:abstractNumId w:val="30"/>
  </w:num>
  <w:num w:numId="11">
    <w:abstractNumId w:val="31"/>
  </w:num>
  <w:num w:numId="12">
    <w:abstractNumId w:val="35"/>
  </w:num>
  <w:num w:numId="13">
    <w:abstractNumId w:val="16"/>
  </w:num>
  <w:num w:numId="14">
    <w:abstractNumId w:val="6"/>
  </w:num>
  <w:num w:numId="15">
    <w:abstractNumId w:val="28"/>
  </w:num>
  <w:num w:numId="16">
    <w:abstractNumId w:val="37"/>
  </w:num>
  <w:num w:numId="17">
    <w:abstractNumId w:val="42"/>
  </w:num>
  <w:num w:numId="18">
    <w:abstractNumId w:val="33"/>
  </w:num>
  <w:num w:numId="1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17"/>
  </w:num>
  <w:num w:numId="23">
    <w:abstractNumId w:val="24"/>
  </w:num>
  <w:num w:numId="24">
    <w:abstractNumId w:val="26"/>
  </w:num>
  <w:num w:numId="25">
    <w:abstractNumId w:val="4"/>
  </w:num>
  <w:num w:numId="26">
    <w:abstractNumId w:val="8"/>
  </w:num>
  <w:num w:numId="27">
    <w:abstractNumId w:val="22"/>
  </w:num>
  <w:num w:numId="28">
    <w:abstractNumId w:val="36"/>
  </w:num>
  <w:num w:numId="29">
    <w:abstractNumId w:val="19"/>
  </w:num>
  <w:num w:numId="30">
    <w:abstractNumId w:val="10"/>
  </w:num>
  <w:num w:numId="31">
    <w:abstractNumId w:val="2"/>
  </w:num>
  <w:num w:numId="32">
    <w:abstractNumId w:val="21"/>
  </w:num>
  <w:num w:numId="33">
    <w:abstractNumId w:val="9"/>
  </w:num>
  <w:num w:numId="34">
    <w:abstractNumId w:val="40"/>
  </w:num>
  <w:num w:numId="35">
    <w:abstractNumId w:val="34"/>
  </w:num>
  <w:num w:numId="36">
    <w:abstractNumId w:val="7"/>
  </w:num>
  <w:num w:numId="37">
    <w:abstractNumId w:val="25"/>
  </w:num>
  <w:num w:numId="38">
    <w:abstractNumId w:val="18"/>
  </w:num>
  <w:num w:numId="39">
    <w:abstractNumId w:val="15"/>
  </w:num>
  <w:num w:numId="40">
    <w:abstractNumId w:val="1"/>
  </w:num>
  <w:num w:numId="41">
    <w:abstractNumId w:val="3"/>
  </w:num>
  <w:num w:numId="42">
    <w:abstractNumId w:val="29"/>
  </w:num>
  <w:num w:numId="43">
    <w:abstractNumId w:val="39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137"/>
    <w:rsid w:val="00000DA5"/>
    <w:rsid w:val="00003DD2"/>
    <w:rsid w:val="00003FBB"/>
    <w:rsid w:val="00004612"/>
    <w:rsid w:val="00007C18"/>
    <w:rsid w:val="00007D14"/>
    <w:rsid w:val="00011707"/>
    <w:rsid w:val="00013260"/>
    <w:rsid w:val="000178A1"/>
    <w:rsid w:val="00017D35"/>
    <w:rsid w:val="00021FA0"/>
    <w:rsid w:val="0002291E"/>
    <w:rsid w:val="00024EA2"/>
    <w:rsid w:val="00025AA5"/>
    <w:rsid w:val="00027341"/>
    <w:rsid w:val="00030DEA"/>
    <w:rsid w:val="0003379E"/>
    <w:rsid w:val="00035906"/>
    <w:rsid w:val="0004251C"/>
    <w:rsid w:val="00046E51"/>
    <w:rsid w:val="00060535"/>
    <w:rsid w:val="00064EBC"/>
    <w:rsid w:val="00066F04"/>
    <w:rsid w:val="00072130"/>
    <w:rsid w:val="00075304"/>
    <w:rsid w:val="00081CBE"/>
    <w:rsid w:val="000840D9"/>
    <w:rsid w:val="00084629"/>
    <w:rsid w:val="00090879"/>
    <w:rsid w:val="00095E92"/>
    <w:rsid w:val="00096A9C"/>
    <w:rsid w:val="00096E13"/>
    <w:rsid w:val="000A3B20"/>
    <w:rsid w:val="000A3BFF"/>
    <w:rsid w:val="000A3C94"/>
    <w:rsid w:val="000A4528"/>
    <w:rsid w:val="000B13CD"/>
    <w:rsid w:val="000B1B69"/>
    <w:rsid w:val="000B1CAA"/>
    <w:rsid w:val="000B23BC"/>
    <w:rsid w:val="000B2B74"/>
    <w:rsid w:val="000B490E"/>
    <w:rsid w:val="000B66EC"/>
    <w:rsid w:val="000B673C"/>
    <w:rsid w:val="000C5BD3"/>
    <w:rsid w:val="000D0D69"/>
    <w:rsid w:val="000D3B56"/>
    <w:rsid w:val="000D5FE0"/>
    <w:rsid w:val="000E06B1"/>
    <w:rsid w:val="000E3897"/>
    <w:rsid w:val="000E7442"/>
    <w:rsid w:val="000F10D2"/>
    <w:rsid w:val="000F1D5D"/>
    <w:rsid w:val="000F3B16"/>
    <w:rsid w:val="000F4F8D"/>
    <w:rsid w:val="000F539E"/>
    <w:rsid w:val="000F6DB1"/>
    <w:rsid w:val="000F72D5"/>
    <w:rsid w:val="000F73EB"/>
    <w:rsid w:val="00100AF3"/>
    <w:rsid w:val="00103297"/>
    <w:rsid w:val="00103C30"/>
    <w:rsid w:val="00110BEE"/>
    <w:rsid w:val="001111BB"/>
    <w:rsid w:val="00112D07"/>
    <w:rsid w:val="0012142F"/>
    <w:rsid w:val="00122F8E"/>
    <w:rsid w:val="0013038B"/>
    <w:rsid w:val="00130F2F"/>
    <w:rsid w:val="00132490"/>
    <w:rsid w:val="00133AE3"/>
    <w:rsid w:val="001342D7"/>
    <w:rsid w:val="00144D37"/>
    <w:rsid w:val="00145604"/>
    <w:rsid w:val="001458AE"/>
    <w:rsid w:val="001500E1"/>
    <w:rsid w:val="00151F9E"/>
    <w:rsid w:val="001530EB"/>
    <w:rsid w:val="001556F1"/>
    <w:rsid w:val="001568AF"/>
    <w:rsid w:val="00156DDE"/>
    <w:rsid w:val="00157B94"/>
    <w:rsid w:val="00166B8B"/>
    <w:rsid w:val="00166DE2"/>
    <w:rsid w:val="00170833"/>
    <w:rsid w:val="0017127A"/>
    <w:rsid w:val="00171E31"/>
    <w:rsid w:val="00173E77"/>
    <w:rsid w:val="00174AF0"/>
    <w:rsid w:val="00175CF2"/>
    <w:rsid w:val="00177334"/>
    <w:rsid w:val="00182C88"/>
    <w:rsid w:val="00185E68"/>
    <w:rsid w:val="00187F9F"/>
    <w:rsid w:val="001942E2"/>
    <w:rsid w:val="001963FF"/>
    <w:rsid w:val="0019790C"/>
    <w:rsid w:val="001A1F86"/>
    <w:rsid w:val="001A26C9"/>
    <w:rsid w:val="001A42D3"/>
    <w:rsid w:val="001A4320"/>
    <w:rsid w:val="001A70A2"/>
    <w:rsid w:val="001B0806"/>
    <w:rsid w:val="001B1713"/>
    <w:rsid w:val="001B3AE0"/>
    <w:rsid w:val="001C2753"/>
    <w:rsid w:val="001C719B"/>
    <w:rsid w:val="001C7C42"/>
    <w:rsid w:val="001D4C6E"/>
    <w:rsid w:val="001E135C"/>
    <w:rsid w:val="001E5DD2"/>
    <w:rsid w:val="001E6DEC"/>
    <w:rsid w:val="001F2371"/>
    <w:rsid w:val="001F5D33"/>
    <w:rsid w:val="001F5E23"/>
    <w:rsid w:val="001F6AD5"/>
    <w:rsid w:val="0020018D"/>
    <w:rsid w:val="002006B0"/>
    <w:rsid w:val="002042A3"/>
    <w:rsid w:val="00205568"/>
    <w:rsid w:val="002056A5"/>
    <w:rsid w:val="00215359"/>
    <w:rsid w:val="00215795"/>
    <w:rsid w:val="00216D50"/>
    <w:rsid w:val="00217165"/>
    <w:rsid w:val="0022123A"/>
    <w:rsid w:val="00225D2A"/>
    <w:rsid w:val="00235521"/>
    <w:rsid w:val="00236B0C"/>
    <w:rsid w:val="00240634"/>
    <w:rsid w:val="00244CA1"/>
    <w:rsid w:val="002518EE"/>
    <w:rsid w:val="00256568"/>
    <w:rsid w:val="00256F9F"/>
    <w:rsid w:val="00260188"/>
    <w:rsid w:val="00261DEE"/>
    <w:rsid w:val="00266513"/>
    <w:rsid w:val="00267247"/>
    <w:rsid w:val="00270072"/>
    <w:rsid w:val="00270A8F"/>
    <w:rsid w:val="00272DB1"/>
    <w:rsid w:val="002737AB"/>
    <w:rsid w:val="00273C21"/>
    <w:rsid w:val="00273CC1"/>
    <w:rsid w:val="00274961"/>
    <w:rsid w:val="00276271"/>
    <w:rsid w:val="00286317"/>
    <w:rsid w:val="00290ED7"/>
    <w:rsid w:val="0029474F"/>
    <w:rsid w:val="00297BFC"/>
    <w:rsid w:val="002A08EF"/>
    <w:rsid w:val="002A19F8"/>
    <w:rsid w:val="002B4CFF"/>
    <w:rsid w:val="002B7A41"/>
    <w:rsid w:val="002C241F"/>
    <w:rsid w:val="002C5819"/>
    <w:rsid w:val="002D0896"/>
    <w:rsid w:val="002D0E04"/>
    <w:rsid w:val="002D15FE"/>
    <w:rsid w:val="002D19C8"/>
    <w:rsid w:val="002D4475"/>
    <w:rsid w:val="002D5C2C"/>
    <w:rsid w:val="002E6D1E"/>
    <w:rsid w:val="002E73B2"/>
    <w:rsid w:val="002F2808"/>
    <w:rsid w:val="002F2E76"/>
    <w:rsid w:val="002F54DA"/>
    <w:rsid w:val="003038BD"/>
    <w:rsid w:val="0030650E"/>
    <w:rsid w:val="00310AE4"/>
    <w:rsid w:val="00313CDE"/>
    <w:rsid w:val="00314616"/>
    <w:rsid w:val="00315DEC"/>
    <w:rsid w:val="00323090"/>
    <w:rsid w:val="0032741E"/>
    <w:rsid w:val="00327D50"/>
    <w:rsid w:val="003309F5"/>
    <w:rsid w:val="00330E79"/>
    <w:rsid w:val="00331C1E"/>
    <w:rsid w:val="00332CC0"/>
    <w:rsid w:val="003347DB"/>
    <w:rsid w:val="00336F6A"/>
    <w:rsid w:val="00344A0C"/>
    <w:rsid w:val="003460CC"/>
    <w:rsid w:val="003502E8"/>
    <w:rsid w:val="003524F9"/>
    <w:rsid w:val="00355B26"/>
    <w:rsid w:val="003653B5"/>
    <w:rsid w:val="00366F27"/>
    <w:rsid w:val="0036755B"/>
    <w:rsid w:val="00376A9C"/>
    <w:rsid w:val="00377591"/>
    <w:rsid w:val="00377705"/>
    <w:rsid w:val="00377A6E"/>
    <w:rsid w:val="00381B7E"/>
    <w:rsid w:val="00387A3B"/>
    <w:rsid w:val="003900A2"/>
    <w:rsid w:val="00392A30"/>
    <w:rsid w:val="00395CDA"/>
    <w:rsid w:val="00396A49"/>
    <w:rsid w:val="0039718E"/>
    <w:rsid w:val="003A1CC9"/>
    <w:rsid w:val="003A5B95"/>
    <w:rsid w:val="003B0739"/>
    <w:rsid w:val="003B0748"/>
    <w:rsid w:val="003B69A6"/>
    <w:rsid w:val="003B7D00"/>
    <w:rsid w:val="003B7FFD"/>
    <w:rsid w:val="003C06CD"/>
    <w:rsid w:val="003C0FF3"/>
    <w:rsid w:val="003C5330"/>
    <w:rsid w:val="003C6076"/>
    <w:rsid w:val="003C7D7B"/>
    <w:rsid w:val="003D0640"/>
    <w:rsid w:val="003D265E"/>
    <w:rsid w:val="003E26B8"/>
    <w:rsid w:val="003F0155"/>
    <w:rsid w:val="003F071E"/>
    <w:rsid w:val="003F2494"/>
    <w:rsid w:val="003F25FF"/>
    <w:rsid w:val="003F292B"/>
    <w:rsid w:val="003F3579"/>
    <w:rsid w:val="003F45D2"/>
    <w:rsid w:val="003F6BB6"/>
    <w:rsid w:val="003F6F32"/>
    <w:rsid w:val="00400D66"/>
    <w:rsid w:val="0040100D"/>
    <w:rsid w:val="00430BB9"/>
    <w:rsid w:val="00431B11"/>
    <w:rsid w:val="00433975"/>
    <w:rsid w:val="00433D93"/>
    <w:rsid w:val="00436E9F"/>
    <w:rsid w:val="004401DC"/>
    <w:rsid w:val="004414E8"/>
    <w:rsid w:val="004433A9"/>
    <w:rsid w:val="00445698"/>
    <w:rsid w:val="0044588B"/>
    <w:rsid w:val="00445ADD"/>
    <w:rsid w:val="00451182"/>
    <w:rsid w:val="004532CF"/>
    <w:rsid w:val="00456BAA"/>
    <w:rsid w:val="004628C4"/>
    <w:rsid w:val="004628F0"/>
    <w:rsid w:val="00466EC7"/>
    <w:rsid w:val="00471AC5"/>
    <w:rsid w:val="004727F9"/>
    <w:rsid w:val="00473A81"/>
    <w:rsid w:val="004748F5"/>
    <w:rsid w:val="00476DD6"/>
    <w:rsid w:val="00477A19"/>
    <w:rsid w:val="004806A4"/>
    <w:rsid w:val="00485303"/>
    <w:rsid w:val="004879CD"/>
    <w:rsid w:val="004954B3"/>
    <w:rsid w:val="004A1B91"/>
    <w:rsid w:val="004A4604"/>
    <w:rsid w:val="004A484F"/>
    <w:rsid w:val="004B0DBC"/>
    <w:rsid w:val="004B0E62"/>
    <w:rsid w:val="004B4A0C"/>
    <w:rsid w:val="004B5B38"/>
    <w:rsid w:val="004B5F4D"/>
    <w:rsid w:val="004B7E93"/>
    <w:rsid w:val="004C073E"/>
    <w:rsid w:val="004C795D"/>
    <w:rsid w:val="004D42EA"/>
    <w:rsid w:val="004D48A0"/>
    <w:rsid w:val="004E242B"/>
    <w:rsid w:val="004E271D"/>
    <w:rsid w:val="004E2D95"/>
    <w:rsid w:val="004E374A"/>
    <w:rsid w:val="004F16F8"/>
    <w:rsid w:val="004F2A10"/>
    <w:rsid w:val="004F3B99"/>
    <w:rsid w:val="004F3EE5"/>
    <w:rsid w:val="00501B01"/>
    <w:rsid w:val="0050432D"/>
    <w:rsid w:val="00505ECF"/>
    <w:rsid w:val="0051295D"/>
    <w:rsid w:val="0051477D"/>
    <w:rsid w:val="005153CB"/>
    <w:rsid w:val="005174B1"/>
    <w:rsid w:val="0052002C"/>
    <w:rsid w:val="005200DF"/>
    <w:rsid w:val="005209AD"/>
    <w:rsid w:val="0052297E"/>
    <w:rsid w:val="00525729"/>
    <w:rsid w:val="00537B8F"/>
    <w:rsid w:val="005427E4"/>
    <w:rsid w:val="00551E51"/>
    <w:rsid w:val="005569DF"/>
    <w:rsid w:val="00556AB6"/>
    <w:rsid w:val="00566B02"/>
    <w:rsid w:val="00576ED7"/>
    <w:rsid w:val="00577A77"/>
    <w:rsid w:val="00577AE8"/>
    <w:rsid w:val="00586427"/>
    <w:rsid w:val="0058779B"/>
    <w:rsid w:val="00590A54"/>
    <w:rsid w:val="005921D1"/>
    <w:rsid w:val="005935A4"/>
    <w:rsid w:val="005A13B7"/>
    <w:rsid w:val="005A1AD0"/>
    <w:rsid w:val="005A5852"/>
    <w:rsid w:val="005A6567"/>
    <w:rsid w:val="005B1216"/>
    <w:rsid w:val="005B4D26"/>
    <w:rsid w:val="005B5109"/>
    <w:rsid w:val="005C1358"/>
    <w:rsid w:val="005C1E20"/>
    <w:rsid w:val="005C2600"/>
    <w:rsid w:val="005C3375"/>
    <w:rsid w:val="005C5019"/>
    <w:rsid w:val="005C6C21"/>
    <w:rsid w:val="005D0581"/>
    <w:rsid w:val="005D2951"/>
    <w:rsid w:val="005D51D2"/>
    <w:rsid w:val="005D5EC5"/>
    <w:rsid w:val="005D766C"/>
    <w:rsid w:val="005E1009"/>
    <w:rsid w:val="005E2624"/>
    <w:rsid w:val="005E4877"/>
    <w:rsid w:val="005E5AA4"/>
    <w:rsid w:val="005E6CDC"/>
    <w:rsid w:val="005F04C5"/>
    <w:rsid w:val="0060122A"/>
    <w:rsid w:val="00602765"/>
    <w:rsid w:val="00602963"/>
    <w:rsid w:val="00613681"/>
    <w:rsid w:val="00614BA9"/>
    <w:rsid w:val="0061534C"/>
    <w:rsid w:val="00616FB2"/>
    <w:rsid w:val="006236FF"/>
    <w:rsid w:val="0062376E"/>
    <w:rsid w:val="00624B34"/>
    <w:rsid w:val="00625C6E"/>
    <w:rsid w:val="0062603B"/>
    <w:rsid w:val="00626674"/>
    <w:rsid w:val="006270F6"/>
    <w:rsid w:val="00627453"/>
    <w:rsid w:val="006304ED"/>
    <w:rsid w:val="006326EB"/>
    <w:rsid w:val="00641277"/>
    <w:rsid w:val="00641839"/>
    <w:rsid w:val="00642ACC"/>
    <w:rsid w:val="00643B53"/>
    <w:rsid w:val="006503C9"/>
    <w:rsid w:val="006514DB"/>
    <w:rsid w:val="0065202F"/>
    <w:rsid w:val="00654A67"/>
    <w:rsid w:val="00656065"/>
    <w:rsid w:val="00657EEC"/>
    <w:rsid w:val="0066072B"/>
    <w:rsid w:val="00660894"/>
    <w:rsid w:val="0066349F"/>
    <w:rsid w:val="0066591C"/>
    <w:rsid w:val="00666ED3"/>
    <w:rsid w:val="00670191"/>
    <w:rsid w:val="00673DB1"/>
    <w:rsid w:val="0067674A"/>
    <w:rsid w:val="00676F90"/>
    <w:rsid w:val="00677944"/>
    <w:rsid w:val="00680862"/>
    <w:rsid w:val="00682B06"/>
    <w:rsid w:val="0069121B"/>
    <w:rsid w:val="0069386A"/>
    <w:rsid w:val="006969A2"/>
    <w:rsid w:val="006A40AE"/>
    <w:rsid w:val="006A5F3F"/>
    <w:rsid w:val="006A6569"/>
    <w:rsid w:val="006A6B5D"/>
    <w:rsid w:val="006B1949"/>
    <w:rsid w:val="006B398E"/>
    <w:rsid w:val="006B5344"/>
    <w:rsid w:val="006B53A1"/>
    <w:rsid w:val="006C0255"/>
    <w:rsid w:val="006C4071"/>
    <w:rsid w:val="006C4BB9"/>
    <w:rsid w:val="006C6E3F"/>
    <w:rsid w:val="006D214E"/>
    <w:rsid w:val="006D46AA"/>
    <w:rsid w:val="006D7745"/>
    <w:rsid w:val="006D7F92"/>
    <w:rsid w:val="006E4C13"/>
    <w:rsid w:val="006E60C2"/>
    <w:rsid w:val="006F060D"/>
    <w:rsid w:val="006F19C5"/>
    <w:rsid w:val="006F3301"/>
    <w:rsid w:val="006F3883"/>
    <w:rsid w:val="006F4621"/>
    <w:rsid w:val="00704B2C"/>
    <w:rsid w:val="00704DC6"/>
    <w:rsid w:val="00714F5C"/>
    <w:rsid w:val="00716D2E"/>
    <w:rsid w:val="00721A99"/>
    <w:rsid w:val="0072262D"/>
    <w:rsid w:val="00722C25"/>
    <w:rsid w:val="00730EAF"/>
    <w:rsid w:val="0073750F"/>
    <w:rsid w:val="00741027"/>
    <w:rsid w:val="00747B98"/>
    <w:rsid w:val="00751137"/>
    <w:rsid w:val="00752678"/>
    <w:rsid w:val="0076015E"/>
    <w:rsid w:val="007605C5"/>
    <w:rsid w:val="00763890"/>
    <w:rsid w:val="00771642"/>
    <w:rsid w:val="00771A72"/>
    <w:rsid w:val="007722AB"/>
    <w:rsid w:val="00773809"/>
    <w:rsid w:val="00773A6A"/>
    <w:rsid w:val="0077419C"/>
    <w:rsid w:val="00774C56"/>
    <w:rsid w:val="00776AFD"/>
    <w:rsid w:val="00777317"/>
    <w:rsid w:val="007817F2"/>
    <w:rsid w:val="00783E29"/>
    <w:rsid w:val="00784677"/>
    <w:rsid w:val="00785466"/>
    <w:rsid w:val="00792049"/>
    <w:rsid w:val="00792591"/>
    <w:rsid w:val="007949E5"/>
    <w:rsid w:val="00794B0C"/>
    <w:rsid w:val="007A1C2E"/>
    <w:rsid w:val="007A541D"/>
    <w:rsid w:val="007B13F7"/>
    <w:rsid w:val="007B41D7"/>
    <w:rsid w:val="007B7196"/>
    <w:rsid w:val="007C14BE"/>
    <w:rsid w:val="007C2007"/>
    <w:rsid w:val="007C2D0E"/>
    <w:rsid w:val="007D065E"/>
    <w:rsid w:val="007D58DF"/>
    <w:rsid w:val="007E4FFB"/>
    <w:rsid w:val="007E75CF"/>
    <w:rsid w:val="007E7F66"/>
    <w:rsid w:val="007F475E"/>
    <w:rsid w:val="00800DF9"/>
    <w:rsid w:val="008012CF"/>
    <w:rsid w:val="00801BF1"/>
    <w:rsid w:val="00803762"/>
    <w:rsid w:val="008040EA"/>
    <w:rsid w:val="00807908"/>
    <w:rsid w:val="0081049E"/>
    <w:rsid w:val="0081195B"/>
    <w:rsid w:val="00820BCE"/>
    <w:rsid w:val="0082203A"/>
    <w:rsid w:val="00822FE4"/>
    <w:rsid w:val="008275CD"/>
    <w:rsid w:val="0083002C"/>
    <w:rsid w:val="0083363E"/>
    <w:rsid w:val="008378E0"/>
    <w:rsid w:val="0084166F"/>
    <w:rsid w:val="00842BAC"/>
    <w:rsid w:val="008432D9"/>
    <w:rsid w:val="008436A6"/>
    <w:rsid w:val="00843B4E"/>
    <w:rsid w:val="008455F9"/>
    <w:rsid w:val="00846532"/>
    <w:rsid w:val="00846545"/>
    <w:rsid w:val="008532B5"/>
    <w:rsid w:val="00856C25"/>
    <w:rsid w:val="00857408"/>
    <w:rsid w:val="00857F5F"/>
    <w:rsid w:val="00863F3D"/>
    <w:rsid w:val="00867395"/>
    <w:rsid w:val="00872468"/>
    <w:rsid w:val="00874A09"/>
    <w:rsid w:val="008753A4"/>
    <w:rsid w:val="0088305C"/>
    <w:rsid w:val="00884F94"/>
    <w:rsid w:val="0089091E"/>
    <w:rsid w:val="008936A2"/>
    <w:rsid w:val="008936FC"/>
    <w:rsid w:val="0089398B"/>
    <w:rsid w:val="008A0111"/>
    <w:rsid w:val="008A017C"/>
    <w:rsid w:val="008A1394"/>
    <w:rsid w:val="008A2C90"/>
    <w:rsid w:val="008A32C2"/>
    <w:rsid w:val="008A3595"/>
    <w:rsid w:val="008A5380"/>
    <w:rsid w:val="008A5DDB"/>
    <w:rsid w:val="008B02DD"/>
    <w:rsid w:val="008B477C"/>
    <w:rsid w:val="008B6EE0"/>
    <w:rsid w:val="008B7BEE"/>
    <w:rsid w:val="008C0846"/>
    <w:rsid w:val="008C7A86"/>
    <w:rsid w:val="008D503C"/>
    <w:rsid w:val="008D7797"/>
    <w:rsid w:val="008D7AF3"/>
    <w:rsid w:val="008E3801"/>
    <w:rsid w:val="008E63F2"/>
    <w:rsid w:val="008E64E5"/>
    <w:rsid w:val="008F1B61"/>
    <w:rsid w:val="008F270C"/>
    <w:rsid w:val="008F6B82"/>
    <w:rsid w:val="0090028A"/>
    <w:rsid w:val="009017A9"/>
    <w:rsid w:val="00912704"/>
    <w:rsid w:val="00914524"/>
    <w:rsid w:val="00914568"/>
    <w:rsid w:val="009167EF"/>
    <w:rsid w:val="00920FC9"/>
    <w:rsid w:val="009218B3"/>
    <w:rsid w:val="00930E2C"/>
    <w:rsid w:val="00930F5A"/>
    <w:rsid w:val="00933397"/>
    <w:rsid w:val="00934FEF"/>
    <w:rsid w:val="00936C8F"/>
    <w:rsid w:val="00937AFA"/>
    <w:rsid w:val="00946920"/>
    <w:rsid w:val="00947220"/>
    <w:rsid w:val="00951306"/>
    <w:rsid w:val="009521D9"/>
    <w:rsid w:val="009532C3"/>
    <w:rsid w:val="00955B94"/>
    <w:rsid w:val="00955BF5"/>
    <w:rsid w:val="00957D7D"/>
    <w:rsid w:val="009654BF"/>
    <w:rsid w:val="0096566F"/>
    <w:rsid w:val="009714EC"/>
    <w:rsid w:val="009720DA"/>
    <w:rsid w:val="00973EA6"/>
    <w:rsid w:val="0097776E"/>
    <w:rsid w:val="00980091"/>
    <w:rsid w:val="009818C1"/>
    <w:rsid w:val="00983C3E"/>
    <w:rsid w:val="009872C3"/>
    <w:rsid w:val="00987AAB"/>
    <w:rsid w:val="0099117E"/>
    <w:rsid w:val="00991484"/>
    <w:rsid w:val="00992231"/>
    <w:rsid w:val="009941D3"/>
    <w:rsid w:val="0099431D"/>
    <w:rsid w:val="009A31DF"/>
    <w:rsid w:val="009B12B0"/>
    <w:rsid w:val="009C1C60"/>
    <w:rsid w:val="009C29E3"/>
    <w:rsid w:val="009C6F9B"/>
    <w:rsid w:val="009C77C6"/>
    <w:rsid w:val="009D350F"/>
    <w:rsid w:val="009D4572"/>
    <w:rsid w:val="009D7818"/>
    <w:rsid w:val="009E01E0"/>
    <w:rsid w:val="009E0C76"/>
    <w:rsid w:val="009E22F1"/>
    <w:rsid w:val="009E6D6D"/>
    <w:rsid w:val="009F0CE6"/>
    <w:rsid w:val="009F1005"/>
    <w:rsid w:val="009F5C86"/>
    <w:rsid w:val="00A00E59"/>
    <w:rsid w:val="00A03F7F"/>
    <w:rsid w:val="00A05061"/>
    <w:rsid w:val="00A1054A"/>
    <w:rsid w:val="00A16331"/>
    <w:rsid w:val="00A16F07"/>
    <w:rsid w:val="00A22072"/>
    <w:rsid w:val="00A26FFF"/>
    <w:rsid w:val="00A30481"/>
    <w:rsid w:val="00A364EB"/>
    <w:rsid w:val="00A4098B"/>
    <w:rsid w:val="00A50231"/>
    <w:rsid w:val="00A515B6"/>
    <w:rsid w:val="00A51C20"/>
    <w:rsid w:val="00A53B74"/>
    <w:rsid w:val="00A544CE"/>
    <w:rsid w:val="00A56495"/>
    <w:rsid w:val="00A56A87"/>
    <w:rsid w:val="00A57572"/>
    <w:rsid w:val="00A57787"/>
    <w:rsid w:val="00A61CF7"/>
    <w:rsid w:val="00A63D96"/>
    <w:rsid w:val="00A65066"/>
    <w:rsid w:val="00A65474"/>
    <w:rsid w:val="00A70259"/>
    <w:rsid w:val="00A74975"/>
    <w:rsid w:val="00A7659A"/>
    <w:rsid w:val="00A76CD1"/>
    <w:rsid w:val="00A80072"/>
    <w:rsid w:val="00A82B2F"/>
    <w:rsid w:val="00AA100E"/>
    <w:rsid w:val="00AA3C26"/>
    <w:rsid w:val="00AB221C"/>
    <w:rsid w:val="00AB3E04"/>
    <w:rsid w:val="00AB506B"/>
    <w:rsid w:val="00AC155D"/>
    <w:rsid w:val="00AC72E8"/>
    <w:rsid w:val="00AC731D"/>
    <w:rsid w:val="00AD0024"/>
    <w:rsid w:val="00AD0C01"/>
    <w:rsid w:val="00AD5A5B"/>
    <w:rsid w:val="00AE1ADF"/>
    <w:rsid w:val="00AE4060"/>
    <w:rsid w:val="00AF13C9"/>
    <w:rsid w:val="00AF1DE8"/>
    <w:rsid w:val="00AF28B3"/>
    <w:rsid w:val="00B00510"/>
    <w:rsid w:val="00B0234C"/>
    <w:rsid w:val="00B0504F"/>
    <w:rsid w:val="00B07556"/>
    <w:rsid w:val="00B12232"/>
    <w:rsid w:val="00B126D9"/>
    <w:rsid w:val="00B20296"/>
    <w:rsid w:val="00B21D21"/>
    <w:rsid w:val="00B22CFC"/>
    <w:rsid w:val="00B22E8A"/>
    <w:rsid w:val="00B23A13"/>
    <w:rsid w:val="00B322E7"/>
    <w:rsid w:val="00B349DE"/>
    <w:rsid w:val="00B40884"/>
    <w:rsid w:val="00B42314"/>
    <w:rsid w:val="00B432CF"/>
    <w:rsid w:val="00B54A73"/>
    <w:rsid w:val="00B55033"/>
    <w:rsid w:val="00B565BE"/>
    <w:rsid w:val="00B62DC6"/>
    <w:rsid w:val="00B64599"/>
    <w:rsid w:val="00B67F3F"/>
    <w:rsid w:val="00B77208"/>
    <w:rsid w:val="00B80689"/>
    <w:rsid w:val="00B80EB0"/>
    <w:rsid w:val="00B818DE"/>
    <w:rsid w:val="00B827AC"/>
    <w:rsid w:val="00B84145"/>
    <w:rsid w:val="00B860F5"/>
    <w:rsid w:val="00B87313"/>
    <w:rsid w:val="00B877BD"/>
    <w:rsid w:val="00B877CC"/>
    <w:rsid w:val="00B91F95"/>
    <w:rsid w:val="00B9266A"/>
    <w:rsid w:val="00B92831"/>
    <w:rsid w:val="00B957E8"/>
    <w:rsid w:val="00BA24B1"/>
    <w:rsid w:val="00BA3FE6"/>
    <w:rsid w:val="00BB156A"/>
    <w:rsid w:val="00BB2D1B"/>
    <w:rsid w:val="00BC0260"/>
    <w:rsid w:val="00BC0D1E"/>
    <w:rsid w:val="00BC3E02"/>
    <w:rsid w:val="00BD027D"/>
    <w:rsid w:val="00BD2535"/>
    <w:rsid w:val="00BD5372"/>
    <w:rsid w:val="00BE0573"/>
    <w:rsid w:val="00BE0AEB"/>
    <w:rsid w:val="00BE7811"/>
    <w:rsid w:val="00BF4194"/>
    <w:rsid w:val="00BF5AD3"/>
    <w:rsid w:val="00C04BDB"/>
    <w:rsid w:val="00C06A77"/>
    <w:rsid w:val="00C109E9"/>
    <w:rsid w:val="00C17081"/>
    <w:rsid w:val="00C20B28"/>
    <w:rsid w:val="00C2639D"/>
    <w:rsid w:val="00C2751D"/>
    <w:rsid w:val="00C27BC6"/>
    <w:rsid w:val="00C315D5"/>
    <w:rsid w:val="00C3519B"/>
    <w:rsid w:val="00C43BAF"/>
    <w:rsid w:val="00C463D3"/>
    <w:rsid w:val="00C500A1"/>
    <w:rsid w:val="00C51019"/>
    <w:rsid w:val="00C52F50"/>
    <w:rsid w:val="00C556B2"/>
    <w:rsid w:val="00C55B7B"/>
    <w:rsid w:val="00C56EAE"/>
    <w:rsid w:val="00C57975"/>
    <w:rsid w:val="00C71477"/>
    <w:rsid w:val="00C71EBB"/>
    <w:rsid w:val="00C73F46"/>
    <w:rsid w:val="00C7450E"/>
    <w:rsid w:val="00C75078"/>
    <w:rsid w:val="00C845B2"/>
    <w:rsid w:val="00C87C6F"/>
    <w:rsid w:val="00C9051F"/>
    <w:rsid w:val="00C91163"/>
    <w:rsid w:val="00C91CCB"/>
    <w:rsid w:val="00C92420"/>
    <w:rsid w:val="00C93AB2"/>
    <w:rsid w:val="00C97A50"/>
    <w:rsid w:val="00CA0801"/>
    <w:rsid w:val="00CA69C4"/>
    <w:rsid w:val="00CA78B6"/>
    <w:rsid w:val="00CA7E74"/>
    <w:rsid w:val="00CB1814"/>
    <w:rsid w:val="00CB40B8"/>
    <w:rsid w:val="00CB53C1"/>
    <w:rsid w:val="00CB5C3D"/>
    <w:rsid w:val="00CB75A1"/>
    <w:rsid w:val="00CC0499"/>
    <w:rsid w:val="00CC3FA7"/>
    <w:rsid w:val="00CC48E6"/>
    <w:rsid w:val="00CC75CC"/>
    <w:rsid w:val="00CD12CC"/>
    <w:rsid w:val="00CD148C"/>
    <w:rsid w:val="00CD39C4"/>
    <w:rsid w:val="00CD3CB3"/>
    <w:rsid w:val="00CD3EC4"/>
    <w:rsid w:val="00CD506C"/>
    <w:rsid w:val="00CD73A2"/>
    <w:rsid w:val="00CD7616"/>
    <w:rsid w:val="00CD7DBC"/>
    <w:rsid w:val="00CE2E96"/>
    <w:rsid w:val="00CE420E"/>
    <w:rsid w:val="00CE4C44"/>
    <w:rsid w:val="00CE740F"/>
    <w:rsid w:val="00CF2575"/>
    <w:rsid w:val="00CF2983"/>
    <w:rsid w:val="00CF2A0E"/>
    <w:rsid w:val="00CF526F"/>
    <w:rsid w:val="00D00CE4"/>
    <w:rsid w:val="00D03CF1"/>
    <w:rsid w:val="00D072E5"/>
    <w:rsid w:val="00D11031"/>
    <w:rsid w:val="00D14962"/>
    <w:rsid w:val="00D15C90"/>
    <w:rsid w:val="00D17B0F"/>
    <w:rsid w:val="00D209DD"/>
    <w:rsid w:val="00D2285A"/>
    <w:rsid w:val="00D23C90"/>
    <w:rsid w:val="00D279D3"/>
    <w:rsid w:val="00D3046F"/>
    <w:rsid w:val="00D304E0"/>
    <w:rsid w:val="00D30871"/>
    <w:rsid w:val="00D340EF"/>
    <w:rsid w:val="00D45786"/>
    <w:rsid w:val="00D4622D"/>
    <w:rsid w:val="00D51DFE"/>
    <w:rsid w:val="00D55146"/>
    <w:rsid w:val="00D56A39"/>
    <w:rsid w:val="00D60CE9"/>
    <w:rsid w:val="00D6225E"/>
    <w:rsid w:val="00D62C30"/>
    <w:rsid w:val="00D64F76"/>
    <w:rsid w:val="00D65E24"/>
    <w:rsid w:val="00D66B6B"/>
    <w:rsid w:val="00D71287"/>
    <w:rsid w:val="00D73F0B"/>
    <w:rsid w:val="00D81BEC"/>
    <w:rsid w:val="00D848FB"/>
    <w:rsid w:val="00D84A48"/>
    <w:rsid w:val="00D851C8"/>
    <w:rsid w:val="00D86B29"/>
    <w:rsid w:val="00D923F8"/>
    <w:rsid w:val="00D9316B"/>
    <w:rsid w:val="00D9319A"/>
    <w:rsid w:val="00DA125E"/>
    <w:rsid w:val="00DA1459"/>
    <w:rsid w:val="00DA72FD"/>
    <w:rsid w:val="00DC064C"/>
    <w:rsid w:val="00DC11C0"/>
    <w:rsid w:val="00DC7B54"/>
    <w:rsid w:val="00DD000B"/>
    <w:rsid w:val="00DD19B4"/>
    <w:rsid w:val="00DD1EB6"/>
    <w:rsid w:val="00DD2063"/>
    <w:rsid w:val="00DE6A3D"/>
    <w:rsid w:val="00DF0635"/>
    <w:rsid w:val="00DF0927"/>
    <w:rsid w:val="00DF196E"/>
    <w:rsid w:val="00DF59A3"/>
    <w:rsid w:val="00DF61CF"/>
    <w:rsid w:val="00DF7F68"/>
    <w:rsid w:val="00E02216"/>
    <w:rsid w:val="00E038DF"/>
    <w:rsid w:val="00E07107"/>
    <w:rsid w:val="00E10365"/>
    <w:rsid w:val="00E108DA"/>
    <w:rsid w:val="00E112D4"/>
    <w:rsid w:val="00E1386E"/>
    <w:rsid w:val="00E17E64"/>
    <w:rsid w:val="00E23DE9"/>
    <w:rsid w:val="00E26DE2"/>
    <w:rsid w:val="00E33946"/>
    <w:rsid w:val="00E40CAB"/>
    <w:rsid w:val="00E4138C"/>
    <w:rsid w:val="00E46018"/>
    <w:rsid w:val="00E4735E"/>
    <w:rsid w:val="00E50204"/>
    <w:rsid w:val="00E50ED2"/>
    <w:rsid w:val="00E52BA4"/>
    <w:rsid w:val="00E619FD"/>
    <w:rsid w:val="00E6391B"/>
    <w:rsid w:val="00E6456D"/>
    <w:rsid w:val="00E70EA3"/>
    <w:rsid w:val="00E71BBA"/>
    <w:rsid w:val="00E72035"/>
    <w:rsid w:val="00E73C1B"/>
    <w:rsid w:val="00E74B4F"/>
    <w:rsid w:val="00E80823"/>
    <w:rsid w:val="00E81068"/>
    <w:rsid w:val="00E82F7C"/>
    <w:rsid w:val="00E84DF5"/>
    <w:rsid w:val="00E9396F"/>
    <w:rsid w:val="00E97D0C"/>
    <w:rsid w:val="00EA189F"/>
    <w:rsid w:val="00EA38B5"/>
    <w:rsid w:val="00EA3B04"/>
    <w:rsid w:val="00EA7502"/>
    <w:rsid w:val="00EA7DBF"/>
    <w:rsid w:val="00EB1954"/>
    <w:rsid w:val="00EB1C54"/>
    <w:rsid w:val="00EB2102"/>
    <w:rsid w:val="00EB298A"/>
    <w:rsid w:val="00EB685D"/>
    <w:rsid w:val="00EB7616"/>
    <w:rsid w:val="00EC1340"/>
    <w:rsid w:val="00EC5791"/>
    <w:rsid w:val="00EC79A3"/>
    <w:rsid w:val="00ED3DDB"/>
    <w:rsid w:val="00ED66AB"/>
    <w:rsid w:val="00ED7334"/>
    <w:rsid w:val="00EE192F"/>
    <w:rsid w:val="00EF581B"/>
    <w:rsid w:val="00EF7942"/>
    <w:rsid w:val="00F03A0E"/>
    <w:rsid w:val="00F03C58"/>
    <w:rsid w:val="00F04A2B"/>
    <w:rsid w:val="00F10756"/>
    <w:rsid w:val="00F11698"/>
    <w:rsid w:val="00F12290"/>
    <w:rsid w:val="00F13E2D"/>
    <w:rsid w:val="00F15733"/>
    <w:rsid w:val="00F237D2"/>
    <w:rsid w:val="00F25181"/>
    <w:rsid w:val="00F2604B"/>
    <w:rsid w:val="00F338AD"/>
    <w:rsid w:val="00F41873"/>
    <w:rsid w:val="00F5099C"/>
    <w:rsid w:val="00F55DDC"/>
    <w:rsid w:val="00F57EC9"/>
    <w:rsid w:val="00F608BF"/>
    <w:rsid w:val="00F65943"/>
    <w:rsid w:val="00F65D55"/>
    <w:rsid w:val="00F66654"/>
    <w:rsid w:val="00F677DF"/>
    <w:rsid w:val="00F7004C"/>
    <w:rsid w:val="00F85840"/>
    <w:rsid w:val="00F87A92"/>
    <w:rsid w:val="00FA0B64"/>
    <w:rsid w:val="00FA23DC"/>
    <w:rsid w:val="00FA356D"/>
    <w:rsid w:val="00FA60F3"/>
    <w:rsid w:val="00FB30A4"/>
    <w:rsid w:val="00FB47CA"/>
    <w:rsid w:val="00FB7544"/>
    <w:rsid w:val="00FB7CDA"/>
    <w:rsid w:val="00FC4F38"/>
    <w:rsid w:val="00FC6280"/>
    <w:rsid w:val="00FC6FBB"/>
    <w:rsid w:val="00FC7B32"/>
    <w:rsid w:val="00FD21E5"/>
    <w:rsid w:val="00FD40C2"/>
    <w:rsid w:val="00FD5420"/>
    <w:rsid w:val="00FD5A38"/>
    <w:rsid w:val="00FD639F"/>
    <w:rsid w:val="00FD7507"/>
    <w:rsid w:val="00FD7EE5"/>
    <w:rsid w:val="00FE4914"/>
    <w:rsid w:val="00FE4F31"/>
    <w:rsid w:val="00FE674B"/>
    <w:rsid w:val="00FF1ABB"/>
    <w:rsid w:val="00FF24FF"/>
    <w:rsid w:val="00FF2802"/>
    <w:rsid w:val="00FF67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5:docId w15:val="{3970CEE1-BD81-4D9C-ACCA-34B2F2850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4C9F"/>
    <w:pPr>
      <w:spacing w:after="200"/>
    </w:pPr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751137"/>
  </w:style>
  <w:style w:type="paragraph" w:styleId="Piedepgina">
    <w:name w:val="footer"/>
    <w:basedOn w:val="Normal"/>
    <w:link w:val="Piedepgina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1137"/>
  </w:style>
  <w:style w:type="table" w:styleId="Tablaconcuadrcula">
    <w:name w:val="Table Grid"/>
    <w:basedOn w:val="Tablanormal"/>
    <w:uiPriority w:val="39"/>
    <w:rsid w:val="00B91F9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189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89F"/>
    <w:rPr>
      <w:rFonts w:ascii="Tahoma" w:hAnsi="Tahoma" w:cs="Tahoma"/>
      <w:sz w:val="16"/>
      <w:szCs w:val="16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F338AD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rsid w:val="0076015E"/>
    <w:pPr>
      <w:spacing w:after="120" w:line="480" w:lineRule="auto"/>
    </w:pPr>
    <w:rPr>
      <w:rFonts w:ascii="Times New Roman" w:eastAsia="Times New Roman" w:hAnsi="Times New Roman"/>
      <w:lang w:val="es-CO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6015E"/>
    <w:rPr>
      <w:rFonts w:ascii="Times New Roman" w:eastAsia="Times New Roman" w:hAnsi="Times New Roman"/>
      <w:sz w:val="24"/>
      <w:szCs w:val="24"/>
      <w:lang w:val="es-CO"/>
    </w:rPr>
  </w:style>
  <w:style w:type="paragraph" w:customStyle="1" w:styleId="Default">
    <w:name w:val="Default"/>
    <w:rsid w:val="0032309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rsid w:val="00F237D2"/>
    <w:pPr>
      <w:spacing w:after="0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237D2"/>
    <w:rPr>
      <w:rFonts w:ascii="Times New Roman" w:eastAsia="Times New Roman" w:hAnsi="Times New Roman"/>
    </w:rPr>
  </w:style>
  <w:style w:type="character" w:styleId="Refdenotaalpie">
    <w:name w:val="footnote reference"/>
    <w:basedOn w:val="Fuentedeprrafopredeter"/>
    <w:uiPriority w:val="99"/>
    <w:semiHidden/>
    <w:rsid w:val="00F237D2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1A4320"/>
    <w:pPr>
      <w:spacing w:before="100" w:beforeAutospacing="1" w:after="100" w:afterAutospacing="1"/>
    </w:pPr>
    <w:rPr>
      <w:rFonts w:ascii="Times New Roman" w:eastAsia="Times New Roman" w:hAnsi="Times New Roman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DF61C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DF61CF"/>
    <w:rPr>
      <w:sz w:val="24"/>
      <w:szCs w:val="24"/>
      <w:lang w:val="es-ES_tradnl" w:eastAsia="en-US"/>
    </w:rPr>
  </w:style>
  <w:style w:type="character" w:styleId="Textoennegrita">
    <w:name w:val="Strong"/>
    <w:qFormat/>
    <w:rsid w:val="00B42314"/>
    <w:rPr>
      <w:b/>
      <w:bCs/>
    </w:rPr>
  </w:style>
  <w:style w:type="character" w:customStyle="1" w:styleId="textonavy">
    <w:name w:val="texto_navy"/>
    <w:rsid w:val="00FA0B64"/>
  </w:style>
  <w:style w:type="paragraph" w:customStyle="1" w:styleId="TableParagraph">
    <w:name w:val="Table Paragraph"/>
    <w:basedOn w:val="Normal"/>
    <w:uiPriority w:val="1"/>
    <w:qFormat/>
    <w:rsid w:val="008C7A86"/>
    <w:pPr>
      <w:autoSpaceDE w:val="0"/>
      <w:autoSpaceDN w:val="0"/>
      <w:adjustRightInd w:val="0"/>
      <w:spacing w:after="0"/>
    </w:pPr>
    <w:rPr>
      <w:rFonts w:ascii="Times New Roman" w:hAnsi="Times New Roman"/>
      <w:lang w:val="es-CO" w:eastAsia="es-ES"/>
    </w:rPr>
  </w:style>
  <w:style w:type="table" w:styleId="Tabladecuadrcula4-nfasis1">
    <w:name w:val="Grid Table 4 Accent 1"/>
    <w:basedOn w:val="Tablanormal"/>
    <w:uiPriority w:val="49"/>
    <w:rsid w:val="00C845B2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Diego.Santacruz\Escritorio\INDICADORES%20EJEC%20PTAL%20MAYO%202017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4414316392269148"/>
          <c:y val="0.12446118878168876"/>
          <c:w val="0.73363461385508633"/>
          <c:h val="0.6964384380231504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'EJEC MAYO 2017'!$F$47:$J$47</c:f>
              <c:strCache>
                <c:ptCount val="5"/>
                <c:pt idx="0">
                  <c:v>APROPIACION VIGENTE</c:v>
                </c:pt>
                <c:pt idx="1">
                  <c:v>COMPROMISOS</c:v>
                </c:pt>
                <c:pt idx="2">
                  <c:v>OBLIGACION </c:v>
                </c:pt>
                <c:pt idx="3">
                  <c:v>PAGOS</c:v>
                </c:pt>
                <c:pt idx="4">
                  <c:v>APROPIACION SIN COMPROMETER</c:v>
                </c:pt>
              </c:strCache>
            </c:strRef>
          </c:cat>
          <c:val>
            <c:numRef>
              <c:f>'EJEC MAYO 2017'!$F$48:$J$48</c:f>
              <c:numCache>
                <c:formatCode>_(* #,##0.00_);_(* \(#,##0.00\);_(* "-"??_);_(@_)</c:formatCode>
                <c:ptCount val="5"/>
                <c:pt idx="0">
                  <c:v>1756980221953</c:v>
                </c:pt>
                <c:pt idx="1">
                  <c:v>390078601093.16003</c:v>
                </c:pt>
                <c:pt idx="2">
                  <c:v>188266786163.01001</c:v>
                </c:pt>
                <c:pt idx="3">
                  <c:v>186548585509.62</c:v>
                </c:pt>
                <c:pt idx="4">
                  <c:v>1366901620859.8398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2778944"/>
        <c:axId val="192779504"/>
      </c:barChart>
      <c:catAx>
        <c:axId val="192778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s-ES"/>
          </a:p>
        </c:txPr>
        <c:crossAx val="192779504"/>
        <c:crosses val="autoZero"/>
        <c:auto val="1"/>
        <c:lblAlgn val="ctr"/>
        <c:lblOffset val="100"/>
        <c:noMultiLvlLbl val="0"/>
      </c:catAx>
      <c:valAx>
        <c:axId val="192779504"/>
        <c:scaling>
          <c:orientation val="minMax"/>
        </c:scaling>
        <c:delete val="0"/>
        <c:axPos val="l"/>
        <c:majorGridlines/>
        <c:numFmt formatCode="_(* #,##0.00_);_(* \(#,##0.0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s-ES"/>
          </a:p>
        </c:txPr>
        <c:crossAx val="19277894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ES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0.32121</cdr:x>
      <cdr:y>0.00604</cdr:y>
    </cdr:from>
    <cdr:to>
      <cdr:x>0.56515</cdr:x>
      <cdr:y>0.29607</cdr:y>
    </cdr:to>
    <cdr:sp macro="" textlink="">
      <cdr:nvSpPr>
        <cdr:cNvPr id="2" name="1 CuadroTexto"/>
        <cdr:cNvSpPr txBox="1"/>
      </cdr:nvSpPr>
      <cdr:spPr>
        <a:xfrm xmlns:a="http://schemas.openxmlformats.org/drawingml/2006/main">
          <a:off x="2019300" y="19049"/>
          <a:ext cx="1533525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s-CO" sz="1200" b="1" i="1">
              <a:latin typeface="Arial Narrow" pitchFamily="34" charset="0"/>
            </a:rPr>
            <a:t>EJECUCIÓN</a:t>
          </a:r>
          <a:r>
            <a:rPr lang="es-CO" sz="1200" b="1" i="1" baseline="0">
              <a:latin typeface="Arial Narrow" pitchFamily="34" charset="0"/>
            </a:rPr>
            <a:t> PRESUPUESTAL MAYO 31/2017</a:t>
          </a:r>
        </a:p>
        <a:p xmlns:a="http://schemas.openxmlformats.org/drawingml/2006/main">
          <a:endParaRPr lang="es-CO" sz="1200" b="1" i="1">
            <a:latin typeface="Arial Narrow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7964B-B51E-4492-ADCC-891B8F832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719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4567</CharactersWithSpaces>
  <SharedDoc>false</SharedDoc>
  <HLinks>
    <vt:vector size="42" baseType="variant">
      <vt:variant>
        <vt:i4>1703958</vt:i4>
      </vt:variant>
      <vt:variant>
        <vt:i4>2069</vt:i4>
      </vt:variant>
      <vt:variant>
        <vt:i4>1025</vt:i4>
      </vt:variant>
      <vt:variant>
        <vt:i4>1</vt:i4>
      </vt:variant>
      <vt:variant>
        <vt:lpwstr>papeleria-trans-cabezote</vt:lpwstr>
      </vt:variant>
      <vt:variant>
        <vt:lpwstr/>
      </vt:variant>
      <vt:variant>
        <vt:i4>6291491</vt:i4>
      </vt:variant>
      <vt:variant>
        <vt:i4>2072</vt:i4>
      </vt:variant>
      <vt:variant>
        <vt:i4>1026</vt:i4>
      </vt:variant>
      <vt:variant>
        <vt:i4>1</vt:i4>
      </vt:variant>
      <vt:variant>
        <vt:lpwstr>papeleria-trans-pie2-02-02</vt:lpwstr>
      </vt:variant>
      <vt:variant>
        <vt:lpwstr/>
      </vt:variant>
      <vt:variant>
        <vt:i4>1310799</vt:i4>
      </vt:variant>
      <vt:variant>
        <vt:i4>-1</vt:i4>
      </vt:variant>
      <vt:variant>
        <vt:i4>2065</vt:i4>
      </vt:variant>
      <vt:variant>
        <vt:i4>1</vt:i4>
      </vt:variant>
      <vt:variant>
        <vt:lpwstr>papeleria-01</vt:lpwstr>
      </vt:variant>
      <vt:variant>
        <vt:lpwstr/>
      </vt:variant>
      <vt:variant>
        <vt:i4>1310799</vt:i4>
      </vt:variant>
      <vt:variant>
        <vt:i4>-1</vt:i4>
      </vt:variant>
      <vt:variant>
        <vt:i4>2066</vt:i4>
      </vt:variant>
      <vt:variant>
        <vt:i4>1</vt:i4>
      </vt:variant>
      <vt:variant>
        <vt:lpwstr>papeleria-01</vt:lpwstr>
      </vt:variant>
      <vt:variant>
        <vt:lpwstr/>
      </vt:variant>
      <vt:variant>
        <vt:i4>1441871</vt:i4>
      </vt:variant>
      <vt:variant>
        <vt:i4>-1</vt:i4>
      </vt:variant>
      <vt:variant>
        <vt:i4>2067</vt:i4>
      </vt:variant>
      <vt:variant>
        <vt:i4>1</vt:i4>
      </vt:variant>
      <vt:variant>
        <vt:lpwstr>papeleria-03</vt:lpwstr>
      </vt:variant>
      <vt:variant>
        <vt:lpwstr/>
      </vt:variant>
      <vt:variant>
        <vt:i4>1441871</vt:i4>
      </vt:variant>
      <vt:variant>
        <vt:i4>-1</vt:i4>
      </vt:variant>
      <vt:variant>
        <vt:i4>2068</vt:i4>
      </vt:variant>
      <vt:variant>
        <vt:i4>1</vt:i4>
      </vt:variant>
      <vt:variant>
        <vt:lpwstr>papeleria-03</vt:lpwstr>
      </vt:variant>
      <vt:variant>
        <vt:lpwstr/>
      </vt:variant>
      <vt:variant>
        <vt:i4>1441871</vt:i4>
      </vt:variant>
      <vt:variant>
        <vt:i4>-1</vt:i4>
      </vt:variant>
      <vt:variant>
        <vt:i4>2069</vt:i4>
      </vt:variant>
      <vt:variant>
        <vt:i4>1</vt:i4>
      </vt:variant>
      <vt:variant>
        <vt:lpwstr>papeleria-03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Salazar Muñoz</dc:creator>
  <cp:keywords/>
  <dc:description/>
  <cp:lastModifiedBy>UNIDAD VICTIMAS</cp:lastModifiedBy>
  <cp:revision>4</cp:revision>
  <cp:lastPrinted>2017-06-09T20:50:00Z</cp:lastPrinted>
  <dcterms:created xsi:type="dcterms:W3CDTF">2017-06-09T20:50:00Z</dcterms:created>
  <dcterms:modified xsi:type="dcterms:W3CDTF">2017-06-09T21:13:00Z</dcterms:modified>
</cp:coreProperties>
</file>