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2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595"/>
        <w:gridCol w:w="709"/>
        <w:gridCol w:w="709"/>
      </w:tblGrid>
      <w:tr w:rsidR="00436721" w:rsidRPr="00C71EBB" w:rsidTr="005A370C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36721" w:rsidRPr="00595069" w:rsidRDefault="00436721" w:rsidP="005A370C">
            <w:pPr>
              <w:spacing w:after="0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val="es-ES" w:eastAsia="es-ES"/>
              </w:rPr>
            </w:pPr>
            <w:bookmarkStart w:id="0" w:name="_GoBack"/>
            <w:bookmarkEnd w:id="0"/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721" w:rsidRPr="00595069" w:rsidRDefault="00436721" w:rsidP="005A370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721" w:rsidRPr="00595069" w:rsidRDefault="00277AFE" w:rsidP="00474AD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74AD2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721" w:rsidRPr="00595069" w:rsidRDefault="00436721" w:rsidP="005A370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36721" w:rsidRPr="00595069" w:rsidRDefault="00277AFE" w:rsidP="00474AD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74AD2"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721" w:rsidRPr="00595069" w:rsidRDefault="00436721" w:rsidP="005A370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9506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721" w:rsidRPr="00595069" w:rsidRDefault="00277AFE" w:rsidP="00474AD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474AD2">
              <w:rPr>
                <w:rFonts w:ascii="Century Gothic" w:hAnsi="Century Gothic"/>
                <w:sz w:val="20"/>
                <w:szCs w:val="20"/>
              </w:rPr>
              <w:t>2019</w:t>
            </w:r>
          </w:p>
        </w:tc>
      </w:tr>
    </w:tbl>
    <w:p w:rsidR="00436721" w:rsidRDefault="00436721" w:rsidP="00436721">
      <w:pPr>
        <w:spacing w:after="0"/>
        <w:rPr>
          <w:rFonts w:ascii="Arial Narrow" w:hAnsi="Arial Narrow"/>
          <w:b/>
        </w:rPr>
      </w:pPr>
    </w:p>
    <w:tbl>
      <w:tblPr>
        <w:tblW w:w="10349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86"/>
        <w:gridCol w:w="7063"/>
      </w:tblGrid>
      <w:tr w:rsidR="00436721" w:rsidRPr="00D17C3A" w:rsidTr="005A370C">
        <w:trPr>
          <w:trHeight w:val="268"/>
        </w:trPr>
        <w:tc>
          <w:tcPr>
            <w:tcW w:w="3286" w:type="dxa"/>
            <w:shd w:val="clear" w:color="auto" w:fill="E0E0E0"/>
            <w:vAlign w:val="center"/>
          </w:tcPr>
          <w:p w:rsidR="00436721" w:rsidRPr="00D17C3A" w:rsidRDefault="00436721" w:rsidP="005A370C">
            <w:pPr>
              <w:spacing w:after="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Número de Informe</w:t>
            </w:r>
          </w:p>
        </w:tc>
        <w:tc>
          <w:tcPr>
            <w:tcW w:w="7063" w:type="dxa"/>
            <w:shd w:val="clear" w:color="auto" w:fill="auto"/>
            <w:vAlign w:val="center"/>
          </w:tcPr>
          <w:p w:rsidR="00436721" w:rsidRPr="00D17C3A" w:rsidRDefault="00436721" w:rsidP="005A370C">
            <w:pPr>
              <w:spacing w:after="0"/>
              <w:rPr>
                <w:rFonts w:ascii="Arial" w:eastAsia="SimSun" w:hAnsi="Arial" w:cs="Arial"/>
                <w:sz w:val="20"/>
                <w:szCs w:val="20"/>
              </w:rPr>
            </w:pPr>
            <w:r w:rsidRPr="00474AD2">
              <w:rPr>
                <w:rFonts w:ascii="Century Gothic" w:hAnsi="Century Gothic"/>
                <w:sz w:val="20"/>
                <w:szCs w:val="20"/>
              </w:rPr>
              <w:t>RLI03</w:t>
            </w:r>
          </w:p>
        </w:tc>
      </w:tr>
      <w:tr w:rsidR="00436721" w:rsidRPr="00BC309A" w:rsidTr="005A37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  <w:vAlign w:val="center"/>
          </w:tcPr>
          <w:p w:rsidR="00436721" w:rsidRDefault="00436721" w:rsidP="005A370C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 w:rsidRPr="00E112D4">
              <w:rPr>
                <w:rFonts w:ascii="Arial" w:eastAsia="SimSun" w:hAnsi="Arial" w:cs="Arial"/>
                <w:b/>
                <w:sz w:val="20"/>
                <w:szCs w:val="20"/>
              </w:rPr>
              <w:t>Nombre del Seguimiento</w:t>
            </w:r>
          </w:p>
        </w:tc>
        <w:tc>
          <w:tcPr>
            <w:tcW w:w="7063" w:type="dxa"/>
            <w:vAlign w:val="center"/>
          </w:tcPr>
          <w:p w:rsidR="00436721" w:rsidRPr="00177755" w:rsidRDefault="00436721" w:rsidP="005A370C">
            <w:pPr>
              <w:spacing w:after="0"/>
              <w:jc w:val="both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  <w:r w:rsidRPr="00F577A0">
              <w:rPr>
                <w:rFonts w:ascii="Century Gothic" w:hAnsi="Century Gothic"/>
                <w:sz w:val="20"/>
                <w:szCs w:val="20"/>
              </w:rPr>
              <w:t xml:space="preserve">Informe Austeridad en el Gasto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Cuarto Trimestre </w:t>
            </w:r>
            <w:r w:rsidRPr="00F577A0">
              <w:rPr>
                <w:rFonts w:ascii="Century Gothic" w:hAnsi="Century Gothic"/>
                <w:sz w:val="20"/>
                <w:szCs w:val="20"/>
              </w:rPr>
              <w:t>de 201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436721" w:rsidRPr="00BC309A" w:rsidTr="005A37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  <w:vAlign w:val="center"/>
          </w:tcPr>
          <w:p w:rsidR="00436721" w:rsidRPr="00BC309A" w:rsidRDefault="00436721" w:rsidP="005A370C">
            <w:pPr>
              <w:spacing w:after="0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Objetivo del Seguimiento</w:t>
            </w:r>
          </w:p>
        </w:tc>
        <w:tc>
          <w:tcPr>
            <w:tcW w:w="7063" w:type="dxa"/>
            <w:vAlign w:val="center"/>
          </w:tcPr>
          <w:p w:rsidR="00436721" w:rsidRPr="00177755" w:rsidRDefault="00436721" w:rsidP="005A370C">
            <w:pPr>
              <w:spacing w:after="0"/>
              <w:jc w:val="both"/>
              <w:rPr>
                <w:rFonts w:ascii="Arial" w:eastAsia="PMingLiU" w:hAnsi="Arial" w:cs="Arial"/>
                <w:bCs/>
                <w:color w:val="0000FF"/>
                <w:sz w:val="20"/>
                <w:szCs w:val="20"/>
              </w:rPr>
            </w:pPr>
            <w:r w:rsidRPr="00F577A0">
              <w:rPr>
                <w:rFonts w:ascii="Century Gothic" w:hAnsi="Century Gothic" w:cs="Arial"/>
                <w:sz w:val="20"/>
                <w:szCs w:val="20"/>
              </w:rPr>
              <w:t>Verificar el cumplimiento de las medidas de Austeridad en el Gasto dictadas por el Gobierno Nacional, establecidas en los Decretos 26 y 1737 de 1998, en la Unidad para la Atención y Reparación Integral a las Víctimas, relacionando la situación actual de los mismos y realizando las recomendaciones a las que haya lugar.</w:t>
            </w:r>
          </w:p>
        </w:tc>
      </w:tr>
      <w:tr w:rsidR="00436721" w:rsidRPr="00BC309A" w:rsidTr="005A37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86" w:type="dxa"/>
            <w:shd w:val="clear" w:color="auto" w:fill="E0E0E0"/>
            <w:vAlign w:val="center"/>
          </w:tcPr>
          <w:p w:rsidR="00436721" w:rsidRDefault="00436721" w:rsidP="005A370C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del Seguimiento</w:t>
            </w:r>
          </w:p>
        </w:tc>
        <w:tc>
          <w:tcPr>
            <w:tcW w:w="7063" w:type="dxa"/>
            <w:vAlign w:val="center"/>
          </w:tcPr>
          <w:p w:rsidR="00436721" w:rsidRPr="006603E4" w:rsidRDefault="00436721" w:rsidP="00DD3658">
            <w:pPr>
              <w:spacing w:after="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El presente informe </w:t>
            </w:r>
            <w:r w:rsidR="008A143C">
              <w:rPr>
                <w:rFonts w:ascii="Century Gothic" w:hAnsi="Century Gothic" w:cs="Arial"/>
                <w:sz w:val="20"/>
                <w:szCs w:val="20"/>
                <w:lang w:eastAsia="es-CO"/>
              </w:rPr>
              <w:t>compara</w:t>
            </w:r>
            <w:r w:rsidRPr="00F577A0"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 el comportamiento de los conceptos de Austeridad en el Gasto del </w:t>
            </w:r>
            <w:r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tercer trimestre de las </w:t>
            </w:r>
            <w:r w:rsidRPr="00DD3658">
              <w:rPr>
                <w:rFonts w:ascii="Century Gothic" w:hAnsi="Century Gothic" w:cs="Arial"/>
                <w:sz w:val="20"/>
                <w:szCs w:val="20"/>
                <w:lang w:eastAsia="es-CO"/>
              </w:rPr>
              <w:t>vigencias 201</w:t>
            </w:r>
            <w:r w:rsidR="00DD3658" w:rsidRPr="00DD3658">
              <w:rPr>
                <w:rFonts w:ascii="Century Gothic" w:hAnsi="Century Gothic" w:cs="Arial"/>
                <w:sz w:val="20"/>
                <w:szCs w:val="20"/>
                <w:lang w:eastAsia="es-CO"/>
              </w:rPr>
              <w:t>7</w:t>
            </w:r>
            <w:r w:rsidRPr="00DD3658"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 y 201</w:t>
            </w:r>
            <w:r w:rsidR="00DD3658" w:rsidRPr="00DD3658">
              <w:rPr>
                <w:rFonts w:ascii="Century Gothic" w:hAnsi="Century Gothic" w:cs="Arial"/>
                <w:sz w:val="20"/>
                <w:szCs w:val="20"/>
                <w:lang w:eastAsia="es-CO"/>
              </w:rPr>
              <w:t>8</w:t>
            </w:r>
            <w:r w:rsidRPr="00DD3658">
              <w:rPr>
                <w:rFonts w:ascii="Century Gothic" w:hAnsi="Century Gothic" w:cs="Arial"/>
                <w:sz w:val="20"/>
                <w:szCs w:val="20"/>
                <w:lang w:eastAsia="es-CO"/>
              </w:rPr>
              <w:t>.</w:t>
            </w:r>
          </w:p>
        </w:tc>
      </w:tr>
      <w:tr w:rsidR="00436721" w:rsidRPr="00BC309A" w:rsidTr="001B1A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7"/>
        </w:trPr>
        <w:tc>
          <w:tcPr>
            <w:tcW w:w="3286" w:type="dxa"/>
            <w:shd w:val="clear" w:color="auto" w:fill="E0E0E0"/>
            <w:vAlign w:val="center"/>
          </w:tcPr>
          <w:p w:rsidR="00436721" w:rsidRDefault="00436721" w:rsidP="005A370C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Normatividad </w:t>
            </w:r>
          </w:p>
        </w:tc>
        <w:tc>
          <w:tcPr>
            <w:tcW w:w="7063" w:type="dxa"/>
            <w:vAlign w:val="center"/>
          </w:tcPr>
          <w:p w:rsidR="00436721" w:rsidRPr="00F577A0" w:rsidRDefault="00436721" w:rsidP="00DD3658">
            <w:pPr>
              <w:pStyle w:val="Prrafodelista"/>
              <w:numPr>
                <w:ilvl w:val="0"/>
                <w:numId w:val="2"/>
              </w:numPr>
              <w:spacing w:after="0"/>
              <w:ind w:left="192" w:hanging="19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/>
                <w:sz w:val="20"/>
                <w:szCs w:val="20"/>
              </w:rPr>
              <w:t>Decreto 1737 de 1998</w:t>
            </w:r>
          </w:p>
          <w:p w:rsidR="00436721" w:rsidRPr="00F577A0" w:rsidRDefault="00436721" w:rsidP="00DD3658">
            <w:pPr>
              <w:pStyle w:val="Prrafodelista"/>
              <w:numPr>
                <w:ilvl w:val="0"/>
                <w:numId w:val="2"/>
              </w:numPr>
              <w:spacing w:after="0"/>
              <w:ind w:left="192" w:hanging="19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/>
                <w:sz w:val="20"/>
                <w:szCs w:val="20"/>
              </w:rPr>
              <w:t>Decreto 26 de 1998</w:t>
            </w:r>
          </w:p>
          <w:p w:rsidR="00436721" w:rsidRPr="00F577A0" w:rsidRDefault="00436721" w:rsidP="00DD3658">
            <w:pPr>
              <w:pStyle w:val="Prrafodelista"/>
              <w:numPr>
                <w:ilvl w:val="0"/>
                <w:numId w:val="2"/>
              </w:numPr>
              <w:spacing w:after="0"/>
              <w:ind w:left="192" w:hanging="19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 w:cs="Arial"/>
                <w:sz w:val="20"/>
                <w:szCs w:val="20"/>
              </w:rPr>
              <w:t>Decreto 984 de 2012</w:t>
            </w:r>
          </w:p>
          <w:p w:rsidR="00436721" w:rsidRPr="00F577A0" w:rsidRDefault="00436721" w:rsidP="00DD3658">
            <w:pPr>
              <w:pStyle w:val="Prrafodelista"/>
              <w:numPr>
                <w:ilvl w:val="0"/>
                <w:numId w:val="2"/>
              </w:numPr>
              <w:spacing w:after="0"/>
              <w:ind w:left="192" w:hanging="19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Circular </w:t>
            </w:r>
            <w:proofErr w:type="spellStart"/>
            <w:r w:rsidRPr="00F577A0">
              <w:rPr>
                <w:rFonts w:ascii="Century Gothic" w:hAnsi="Century Gothic" w:cs="Arial"/>
                <w:sz w:val="20"/>
                <w:szCs w:val="20"/>
              </w:rPr>
              <w:t>Nº</w:t>
            </w:r>
            <w:proofErr w:type="spellEnd"/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 2 del 29 de marzo de 2004 del Alto concejero Presidencial y Director del Departamento Administrativo de la Función Pública.</w:t>
            </w:r>
          </w:p>
          <w:p w:rsidR="00436721" w:rsidRPr="00F577A0" w:rsidRDefault="00436721" w:rsidP="00DD3658">
            <w:pPr>
              <w:pStyle w:val="Prrafodelista"/>
              <w:numPr>
                <w:ilvl w:val="0"/>
                <w:numId w:val="2"/>
              </w:numPr>
              <w:spacing w:after="0"/>
              <w:ind w:left="192" w:hanging="19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/>
                <w:sz w:val="20"/>
                <w:szCs w:val="20"/>
              </w:rPr>
              <w:t xml:space="preserve">Circular </w:t>
            </w:r>
            <w:proofErr w:type="spellStart"/>
            <w:r w:rsidRPr="00F577A0">
              <w:rPr>
                <w:rFonts w:ascii="Century Gothic" w:hAnsi="Century Gothic"/>
                <w:sz w:val="20"/>
                <w:szCs w:val="20"/>
              </w:rPr>
              <w:t>Nº</w:t>
            </w:r>
            <w:proofErr w:type="spellEnd"/>
            <w:r w:rsidRPr="00F577A0">
              <w:rPr>
                <w:rFonts w:ascii="Century Gothic" w:hAnsi="Century Gothic"/>
                <w:sz w:val="20"/>
                <w:szCs w:val="20"/>
              </w:rPr>
              <w:t xml:space="preserve"> 002 del 03 de octubre de 2008 Directores Departamento Administrativo de la Presidencia de la Republica y Departamento Administrativo de la Función Pública</w:t>
            </w:r>
          </w:p>
          <w:p w:rsidR="00436721" w:rsidRPr="00D7687A" w:rsidRDefault="00436721" w:rsidP="00DD3658">
            <w:pPr>
              <w:pStyle w:val="Prrafodelista"/>
              <w:numPr>
                <w:ilvl w:val="0"/>
                <w:numId w:val="2"/>
              </w:numPr>
              <w:spacing w:after="0"/>
              <w:ind w:left="192" w:hanging="19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Directiva Presidencial </w:t>
            </w:r>
            <w:proofErr w:type="spellStart"/>
            <w:r w:rsidRPr="00F577A0">
              <w:rPr>
                <w:rFonts w:ascii="Century Gothic" w:hAnsi="Century Gothic" w:cs="Arial"/>
                <w:sz w:val="20"/>
                <w:szCs w:val="20"/>
              </w:rPr>
              <w:t>Nº</w:t>
            </w:r>
            <w:proofErr w:type="spellEnd"/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 10 de 20 de agosto de 2002</w:t>
            </w:r>
          </w:p>
          <w:p w:rsidR="00436721" w:rsidRPr="00053882" w:rsidRDefault="00436721" w:rsidP="00DD3658">
            <w:pPr>
              <w:pStyle w:val="Prrafodelista"/>
              <w:numPr>
                <w:ilvl w:val="0"/>
                <w:numId w:val="2"/>
              </w:numPr>
              <w:spacing w:after="0"/>
              <w:ind w:left="192" w:hanging="192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Directiva Presidencial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Nº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02 de 03</w:t>
            </w:r>
            <w:r w:rsidRPr="00F577A0">
              <w:rPr>
                <w:rFonts w:ascii="Century Gothic" w:hAnsi="Century Gothic" w:cs="Arial"/>
                <w:sz w:val="20"/>
                <w:szCs w:val="20"/>
              </w:rPr>
              <w:t xml:space="preserve"> de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diciembre de </w:t>
            </w:r>
            <w:r w:rsidRPr="00F577A0">
              <w:rPr>
                <w:rFonts w:ascii="Century Gothic" w:hAnsi="Century Gothic" w:cs="Arial"/>
                <w:sz w:val="20"/>
                <w:szCs w:val="20"/>
              </w:rPr>
              <w:t>20</w:t>
            </w: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  <w:p w:rsidR="00436721" w:rsidRPr="00053882" w:rsidRDefault="00436721" w:rsidP="00DD3658">
            <w:pPr>
              <w:pStyle w:val="Prrafodelista"/>
              <w:numPr>
                <w:ilvl w:val="0"/>
                <w:numId w:val="2"/>
              </w:numPr>
              <w:spacing w:after="0"/>
              <w:ind w:left="192" w:hanging="19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53882">
              <w:rPr>
                <w:rFonts w:ascii="Century Gothic" w:hAnsi="Century Gothic" w:cs="Arial"/>
                <w:sz w:val="20"/>
                <w:szCs w:val="20"/>
              </w:rPr>
              <w:t xml:space="preserve">Directiva Presidencial </w:t>
            </w:r>
            <w:proofErr w:type="spellStart"/>
            <w:r w:rsidRPr="00053882">
              <w:rPr>
                <w:rFonts w:ascii="Century Gothic" w:hAnsi="Century Gothic" w:cs="Arial"/>
                <w:sz w:val="20"/>
                <w:szCs w:val="20"/>
              </w:rPr>
              <w:t>Nº</w:t>
            </w:r>
            <w:proofErr w:type="spellEnd"/>
            <w:r w:rsidRPr="00053882">
              <w:rPr>
                <w:rFonts w:ascii="Century Gothic" w:hAnsi="Century Gothic" w:cs="Arial"/>
                <w:sz w:val="20"/>
                <w:szCs w:val="20"/>
              </w:rPr>
              <w:t xml:space="preserve"> 01 de 10 de febrero de 2016</w:t>
            </w:r>
          </w:p>
        </w:tc>
      </w:tr>
    </w:tbl>
    <w:p w:rsidR="00436721" w:rsidRDefault="00436721" w:rsidP="00436721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36721" w:rsidTr="001B1A41">
        <w:trPr>
          <w:trHeight w:val="53"/>
        </w:trPr>
        <w:tc>
          <w:tcPr>
            <w:tcW w:w="10349" w:type="dxa"/>
            <w:shd w:val="clear" w:color="auto" w:fill="D9D9D9" w:themeFill="background1" w:themeFillShade="D9"/>
          </w:tcPr>
          <w:p w:rsidR="00436721" w:rsidRPr="001D6335" w:rsidRDefault="00436721" w:rsidP="00436721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595069">
              <w:rPr>
                <w:rFonts w:ascii="Arial" w:hAnsi="Arial" w:cs="Arial"/>
                <w:b/>
                <w:sz w:val="20"/>
                <w:szCs w:val="20"/>
              </w:rPr>
              <w:t xml:space="preserve">ANÁLISIS Y OBSERVACIONES. </w:t>
            </w:r>
          </w:p>
        </w:tc>
      </w:tr>
    </w:tbl>
    <w:p w:rsidR="00DD3658" w:rsidRDefault="00DD3658" w:rsidP="00F12B95">
      <w:pPr>
        <w:spacing w:after="0"/>
        <w:jc w:val="both"/>
        <w:rPr>
          <w:rFonts w:ascii="Century Gothic" w:hAnsi="Century Gothic" w:cs="Arial"/>
          <w:sz w:val="20"/>
          <w:szCs w:val="20"/>
          <w:lang w:eastAsia="es-CO"/>
        </w:rPr>
      </w:pPr>
    </w:p>
    <w:p w:rsidR="00436721" w:rsidRDefault="00436721" w:rsidP="00F12B95">
      <w:pPr>
        <w:spacing w:after="0"/>
        <w:jc w:val="both"/>
        <w:rPr>
          <w:rFonts w:ascii="Century Gothic" w:hAnsi="Century Gothic" w:cs="Arial"/>
          <w:sz w:val="20"/>
          <w:szCs w:val="20"/>
          <w:lang w:eastAsia="es-CO"/>
        </w:rPr>
      </w:pPr>
      <w:r w:rsidRPr="00080481">
        <w:rPr>
          <w:rFonts w:ascii="Century Gothic" w:hAnsi="Century Gothic" w:cs="Arial"/>
          <w:sz w:val="20"/>
          <w:szCs w:val="20"/>
          <w:lang w:eastAsia="es-CO"/>
        </w:rPr>
        <w:t>A continuación, se relacionan por cada uno de los capítulos de los Decretos que reglamentan la Austeridad en el Gasto, las diferentes situaciones encontradas y las recomendaciones realizadas por esta Oficina.</w:t>
      </w:r>
    </w:p>
    <w:p w:rsidR="0058653B" w:rsidRDefault="0058653B" w:rsidP="00F12B95">
      <w:pPr>
        <w:spacing w:after="0"/>
        <w:jc w:val="both"/>
        <w:rPr>
          <w:rFonts w:ascii="Century Gothic" w:hAnsi="Century Gothic" w:cs="Arial"/>
          <w:sz w:val="20"/>
          <w:szCs w:val="20"/>
          <w:lang w:eastAsia="es-CO"/>
        </w:rPr>
      </w:pPr>
    </w:p>
    <w:p w:rsidR="00436721" w:rsidRPr="00080481" w:rsidRDefault="00436721" w:rsidP="00F12B95">
      <w:pPr>
        <w:pStyle w:val="Ttulo1"/>
        <w:numPr>
          <w:ilvl w:val="0"/>
          <w:numId w:val="3"/>
        </w:numPr>
        <w:spacing w:before="0"/>
        <w:rPr>
          <w:rFonts w:ascii="Century Gothic" w:eastAsia="Cambria" w:hAnsi="Century Gothic" w:cs="Arial"/>
          <w:b/>
          <w:color w:val="auto"/>
          <w:sz w:val="22"/>
          <w:szCs w:val="20"/>
          <w:lang w:val="es-MX" w:eastAsia="es-CO"/>
        </w:rPr>
      </w:pPr>
      <w:r w:rsidRPr="00080481">
        <w:rPr>
          <w:rFonts w:ascii="Century Gothic" w:eastAsia="Cambria" w:hAnsi="Century Gothic" w:cs="Arial"/>
          <w:b/>
          <w:color w:val="auto"/>
          <w:sz w:val="22"/>
          <w:szCs w:val="20"/>
          <w:lang w:val="es-MX" w:eastAsia="es-CO"/>
        </w:rPr>
        <w:t>Personal – Capitulo II del Decreto 1737 de 1998</w:t>
      </w:r>
    </w:p>
    <w:p w:rsidR="00436721" w:rsidRPr="00633A77" w:rsidRDefault="00436721" w:rsidP="00F12B95">
      <w:pPr>
        <w:spacing w:after="0"/>
        <w:rPr>
          <w:rFonts w:ascii="Century Gothic" w:eastAsia="PMingLiU" w:hAnsi="Century Gothic" w:cs="Arial"/>
          <w:bCs/>
          <w:color w:val="0000FF"/>
          <w:sz w:val="2"/>
          <w:szCs w:val="20"/>
          <w:lang w:val="es-ES"/>
        </w:rPr>
      </w:pPr>
    </w:p>
    <w:p w:rsidR="00436721" w:rsidRDefault="00436721" w:rsidP="00F12B95">
      <w:pPr>
        <w:pStyle w:val="Prrafodelista"/>
        <w:spacing w:after="0"/>
        <w:ind w:left="0"/>
        <w:jc w:val="both"/>
        <w:rPr>
          <w:rFonts w:ascii="Century Gothic" w:hAnsi="Century Gothic" w:cs="Arial"/>
          <w:sz w:val="20"/>
          <w:szCs w:val="20"/>
          <w:lang w:val="es-MX" w:eastAsia="es-CO"/>
        </w:rPr>
      </w:pPr>
      <w:r w:rsidRPr="00080481">
        <w:rPr>
          <w:rFonts w:ascii="Century Gothic" w:hAnsi="Century Gothic" w:cs="Arial"/>
          <w:sz w:val="20"/>
          <w:szCs w:val="20"/>
          <w:lang w:eastAsia="es-CO"/>
        </w:rPr>
        <w:t>Se</w:t>
      </w:r>
      <w:r w:rsidRPr="00080481">
        <w:rPr>
          <w:rFonts w:ascii="Century Gothic" w:hAnsi="Century Gothic" w:cs="Arial"/>
          <w:sz w:val="20"/>
          <w:szCs w:val="20"/>
          <w:lang w:val="es-MX" w:eastAsia="es-CO"/>
        </w:rPr>
        <w:t xml:space="preserve"> observó la siguiente relación entre contratistas y profesionales de planta en la UARIV, evidenciando que la cantidad de contratistas de las áreas misionales y de apoyo es </w:t>
      </w:r>
      <w:r>
        <w:rPr>
          <w:rFonts w:ascii="Century Gothic" w:hAnsi="Century Gothic" w:cs="Arial"/>
          <w:sz w:val="20"/>
          <w:szCs w:val="20"/>
          <w:lang w:val="es-MX" w:eastAsia="es-CO"/>
        </w:rPr>
        <w:t>superior al personal de planta.</w:t>
      </w:r>
    </w:p>
    <w:p w:rsidR="00DD3658" w:rsidRDefault="00DD3658" w:rsidP="00F12B95">
      <w:pPr>
        <w:pStyle w:val="Prrafodelista"/>
        <w:spacing w:after="0"/>
        <w:ind w:left="0"/>
        <w:jc w:val="both"/>
        <w:rPr>
          <w:rFonts w:ascii="Century Gothic" w:hAnsi="Century Gothic" w:cs="Arial"/>
          <w:sz w:val="20"/>
          <w:szCs w:val="20"/>
          <w:lang w:val="es-MX" w:eastAsia="es-CO"/>
        </w:rPr>
      </w:pPr>
    </w:p>
    <w:p w:rsidR="00436721" w:rsidRDefault="00436721" w:rsidP="00436721">
      <w:pPr>
        <w:pStyle w:val="Prrafodelista"/>
        <w:numPr>
          <w:ilvl w:val="1"/>
          <w:numId w:val="3"/>
        </w:numPr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  <w:r w:rsidRPr="007030F0">
        <w:rPr>
          <w:rFonts w:ascii="Century Gothic" w:hAnsi="Century Gothic" w:cs="Arial"/>
          <w:b/>
          <w:sz w:val="22"/>
          <w:szCs w:val="20"/>
          <w:lang w:val="es-MX" w:eastAsia="es-CO"/>
        </w:rPr>
        <w:t>Talento Humano.</w:t>
      </w:r>
    </w:p>
    <w:p w:rsidR="00DD3658" w:rsidRDefault="00DD3658" w:rsidP="00DD3658">
      <w:pPr>
        <w:pStyle w:val="Prrafodelista"/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</w:p>
    <w:tbl>
      <w:tblPr>
        <w:tblW w:w="10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315"/>
        <w:gridCol w:w="1494"/>
        <w:gridCol w:w="1265"/>
        <w:gridCol w:w="1505"/>
        <w:gridCol w:w="4243"/>
      </w:tblGrid>
      <w:tr w:rsidR="005A370C" w:rsidRPr="005A370C" w:rsidTr="00F12B95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0C" w:rsidRPr="005A370C" w:rsidRDefault="005A370C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Nº</w:t>
            </w:r>
            <w:proofErr w:type="spellEnd"/>
          </w:p>
        </w:tc>
        <w:tc>
          <w:tcPr>
            <w:tcW w:w="55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0C" w:rsidRPr="005A370C" w:rsidRDefault="005A370C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Aspectos cuantitativos</w:t>
            </w:r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370C" w:rsidRPr="005A370C" w:rsidRDefault="005A370C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5A370C" w:rsidRPr="005A370C" w:rsidTr="00726C48">
        <w:trPr>
          <w:trHeight w:val="34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0C" w:rsidRPr="005A370C" w:rsidRDefault="005A370C" w:rsidP="005A370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0C" w:rsidRPr="005A370C" w:rsidRDefault="005A370C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Concepto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0C" w:rsidRPr="005A370C" w:rsidRDefault="005A370C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Valor pagado entre octubre</w:t>
            </w:r>
            <w:r w:rsidR="00CE0563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- diciembre de la vigencia 2017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0C" w:rsidRPr="005A370C" w:rsidRDefault="005A370C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Valor pagado entre octubre - diciembre de la vigencia 201</w:t>
            </w:r>
            <w:r w:rsidR="00CE0563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0C" w:rsidRPr="005A370C" w:rsidRDefault="005A370C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% Variación valor pagado octubre - diciembre 201</w:t>
            </w:r>
            <w:r w:rsidR="00CE0563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respecto al mismo periodo de la vigencia 201</w:t>
            </w:r>
            <w:r w:rsidR="00CE0563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6C48" w:rsidRDefault="005A370C" w:rsidP="005A370C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En los Servicios Personales de Nómina </w:t>
            </w:r>
            <w:r w:rsidR="00EC481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presenta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un </w:t>
            </w:r>
            <w:r w:rsidR="00EC481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incremento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de</w:t>
            </w:r>
            <w:r w:rsidR="00EC481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l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EC481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2.21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% por tres razones: 1. Para el cuarto trimestre de </w:t>
            </w:r>
            <w:r w:rsidR="00EC481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las incapacidades por maternidad se incrementó en 83% 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2. Se incremen</w:t>
            </w:r>
            <w:r w:rsidR="00764B1E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t</w:t>
            </w:r>
            <w:r w:rsidR="009E45E9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an las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primas técni</w:t>
            </w:r>
            <w:r w:rsid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cas factor salarial</w:t>
            </w:r>
            <w:r w:rsidR="009E45E9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en 28%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debido al </w:t>
            </w:r>
            <w:r w:rsidR="009E45E9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incremento salarial del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personal</w:t>
            </w:r>
            <w:r w:rsidR="009E45E9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que ingreso durante el periodo.</w:t>
            </w:r>
            <w:r w:rsidR="00764B1E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3. </w:t>
            </w:r>
            <w:r w:rsidR="00E0074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El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rubro de sueldos de vacaciones se </w:t>
            </w:r>
            <w:r w:rsidR="00E0074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aumentó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en </w:t>
            </w:r>
            <w:r w:rsidR="00E0074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un 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20%</w:t>
            </w:r>
            <w:r w:rsidR="00E0074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para el 2018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con respecto a</w:t>
            </w:r>
            <w:r w:rsidR="00E0074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l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201</w:t>
            </w:r>
            <w:r w:rsidR="00E0074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7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, dado a que en año </w:t>
            </w:r>
            <w:r w:rsidR="00A12046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2018 se canceló este rubro a 12 funcionarios de la Unidad con cargo directivo y para 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2017 se pagaron a </w:t>
            </w:r>
            <w:r w:rsidR="00A12046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 funcionarios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A12046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de la Unidad con cargo directivo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</w:p>
          <w:p w:rsidR="005A370C" w:rsidRPr="005A370C" w:rsidRDefault="005A370C" w:rsidP="005A370C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Las contribuciones inherentes a la nómina sector privado y público 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presentan un incremento </w:t>
            </w:r>
            <w:r w:rsidR="00CF6DBD"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del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30.30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% 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por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: 1. El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incremento de pagos en cesantías al FNA del 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personal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de planta aumento en $1.265.291.749 para el mismo periodo con respecto al 2017</w:t>
            </w: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. 2. </w:t>
            </w:r>
            <w:r w:rsidR="00CF6DBD"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El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incremento de pagos en cesantías del </w:t>
            </w:r>
            <w:r w:rsidR="00CF6DBD"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personal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de planta </w:t>
            </w:r>
            <w:r w:rsidR="00C54AA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afiliados a Fondos Privados 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aumento en $</w:t>
            </w:r>
            <w:r w:rsidR="00C54AA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87.303.428</w:t>
            </w:r>
            <w:r w:rsidR="00CF6DB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para el mismo periodo con respecto al 2017</w:t>
            </w:r>
            <w:r w:rsidR="00CF6DBD"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</w:tr>
      <w:tr w:rsidR="00CE0563" w:rsidRPr="005A370C" w:rsidTr="00F12B95">
        <w:trPr>
          <w:trHeight w:val="6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E0563" w:rsidP="00CE056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63" w:rsidRPr="005A370C" w:rsidRDefault="00CE0563" w:rsidP="00CE056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Servicios personales asociados a nomina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E0563" w:rsidP="006517C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13.684.945.248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726C48" w:rsidP="006517C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13.993.771.78</w:t>
            </w:r>
            <w:r w:rsidR="00CE0563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726C48" w:rsidP="006517C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2.21</w:t>
            </w:r>
            <w:r w:rsidR="00CE0563"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42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63" w:rsidRPr="005A370C" w:rsidRDefault="00CE0563" w:rsidP="00CE056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CE0563" w:rsidRPr="005A370C" w:rsidTr="00F12B95">
        <w:trPr>
          <w:trHeight w:val="118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E0563" w:rsidP="00CE056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lastRenderedPageBreak/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63" w:rsidRPr="005A370C" w:rsidRDefault="00CE0563" w:rsidP="00CE056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Contribuciones inherentes a la nómina sector privado y público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E0563" w:rsidP="00320365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3.108.509.149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F6DBD" w:rsidP="00320365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4.460.036.127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F6DBD" w:rsidP="00320365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30.30</w:t>
            </w:r>
            <w:r w:rsidR="00CE0563" w:rsidRPr="005A370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42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63" w:rsidRPr="005A370C" w:rsidRDefault="00CE0563" w:rsidP="00CE056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CE0563" w:rsidRPr="005A370C" w:rsidTr="00F12B95">
        <w:trPr>
          <w:trHeight w:val="37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E0563" w:rsidP="00CE0563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Totales $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E0563" w:rsidP="0032036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16.793.454.397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5A370C" w:rsidRDefault="00CF6DBD" w:rsidP="0032036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18.453.807.907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BB2EC0" w:rsidRDefault="00BB2EC0" w:rsidP="00320365">
            <w:pPr>
              <w:spacing w:after="0"/>
              <w:jc w:val="center"/>
              <w:rPr>
                <w:rFonts w:ascii="Century Gothic" w:eastAsia="Times New Roman" w:hAnsi="Century Gothic"/>
                <w:b/>
                <w:color w:val="000000"/>
                <w:sz w:val="16"/>
                <w:szCs w:val="16"/>
                <w:lang w:val="es-CO" w:eastAsia="es-CO"/>
              </w:rPr>
            </w:pPr>
            <w:r w:rsidRPr="00BB2EC0">
              <w:rPr>
                <w:rFonts w:ascii="Century Gothic" w:eastAsia="Times New Roman" w:hAnsi="Century Gothic"/>
                <w:b/>
                <w:color w:val="000000"/>
                <w:sz w:val="16"/>
                <w:szCs w:val="16"/>
                <w:lang w:val="es-CO" w:eastAsia="es-CO"/>
              </w:rPr>
              <w:t>8.99</w:t>
            </w:r>
            <w:r w:rsidR="00CE0563" w:rsidRPr="00BB2EC0">
              <w:rPr>
                <w:rFonts w:ascii="Century Gothic" w:eastAsia="Times New Roman" w:hAnsi="Century Gothic"/>
                <w:b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424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0563" w:rsidRPr="005A370C" w:rsidRDefault="00CE0563" w:rsidP="00CE056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436721" w:rsidRDefault="00436721" w:rsidP="00436721">
      <w:pPr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230"/>
        <w:gridCol w:w="1417"/>
        <w:gridCol w:w="1418"/>
        <w:gridCol w:w="2835"/>
        <w:gridCol w:w="2695"/>
      </w:tblGrid>
      <w:tr w:rsidR="00CB7CBB" w:rsidRPr="00CB7CBB" w:rsidTr="001979C1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BB" w:rsidRPr="00CB7CBB" w:rsidRDefault="00CB7CBB" w:rsidP="00CB7CB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CB7CBB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Nº</w:t>
            </w:r>
            <w:proofErr w:type="spellEnd"/>
          </w:p>
        </w:tc>
        <w:tc>
          <w:tcPr>
            <w:tcW w:w="6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CBB" w:rsidRPr="00CB7CBB" w:rsidRDefault="00CB7CBB" w:rsidP="00CB7CB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B7CBB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Aspectos cuantitativos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7CBB" w:rsidRPr="00CB7CBB" w:rsidRDefault="00CB7CBB" w:rsidP="00CB7CB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B7CBB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CE0563" w:rsidRPr="00CB7CBB" w:rsidTr="001979C1">
        <w:trPr>
          <w:trHeight w:val="178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63" w:rsidRPr="00CB7CBB" w:rsidRDefault="00CE0563" w:rsidP="00CE056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63" w:rsidRPr="00CB7CBB" w:rsidRDefault="00CE0563" w:rsidP="00CE056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B7CBB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Cantidad personal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63" w:rsidRPr="005A370C" w:rsidRDefault="00C02B11" w:rsidP="00CE056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Personal de Planta </w:t>
            </w:r>
            <w:r w:rsidR="00CE0563"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entre octubre</w:t>
            </w:r>
            <w:r w:rsidR="00CE0563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- diciembre de la vigencia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63" w:rsidRPr="005A370C" w:rsidRDefault="00C02B11" w:rsidP="00CE056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Personal de Planta </w:t>
            </w: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entre octubre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- diciembre de la vigencia 201</w:t>
            </w:r>
            <w:r w:rsidR="0057763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63" w:rsidRPr="00CB7CBB" w:rsidRDefault="00CE0563" w:rsidP="0074629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B7CBB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% Variación </w:t>
            </w:r>
            <w:r w:rsidR="0074629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Personal de Planta entre octubre-d</w:t>
            </w: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iciembre 201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  <w:r w:rsidRPr="005A370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respecto al mismo periodo de la vigencia 201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563" w:rsidRPr="00CB7CBB" w:rsidRDefault="00CE0563" w:rsidP="00CE0563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Se </w:t>
            </w:r>
            <w:r w:rsidR="001B1A4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evidencia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un</w:t>
            </w:r>
            <w:r w:rsidR="004F4BF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a </w:t>
            </w:r>
            <w:r w:rsidR="0057763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disminución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de </w:t>
            </w:r>
            <w:r w:rsidR="0057763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22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cargos provistos con respecto </w:t>
            </w:r>
            <w:r w:rsidR="001B1A4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al mismo periodo del año 2017 equivalentes al</w:t>
            </w:r>
            <w:r w:rsidR="0057763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2.72%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, La Entidad cuenta con 857 cargos</w:t>
            </w:r>
            <w:r w:rsidR="00DD365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de planta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, </w:t>
            </w:r>
            <w:r w:rsidR="00DD365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los cuales 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para el cuarto trimestre de 201</w:t>
            </w:r>
            <w:r w:rsidR="001B1A4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se utiliz</w:t>
            </w:r>
            <w:r w:rsidR="00DD365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aron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57763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785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, contando</w:t>
            </w:r>
            <w:r w:rsidR="004F4BF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la Unidad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con una disponibilidad de </w:t>
            </w:r>
            <w:r w:rsidR="0057763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72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cargos</w:t>
            </w:r>
            <w:r w:rsidR="001B1A4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congelados </w:t>
            </w:r>
            <w:r w:rsidR="0057763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para cubrir</w:t>
            </w:r>
            <w:r w:rsidR="001B1A4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durante</w:t>
            </w:r>
            <w:r w:rsidR="0057763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el año 2019</w:t>
            </w:r>
            <w:r w:rsidR="004F4BFC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a nivel nacional</w:t>
            </w: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</w:tr>
      <w:tr w:rsidR="00CB7CBB" w:rsidRPr="00CB7CBB" w:rsidTr="001979C1">
        <w:trPr>
          <w:trHeight w:val="9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BB" w:rsidRPr="00CB7CBB" w:rsidRDefault="00CB7CBB" w:rsidP="00CB7CBB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BB" w:rsidRPr="00CB7CBB" w:rsidRDefault="00CB7CBB" w:rsidP="004F4B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B7CBB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Personal vinculado de planta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BB" w:rsidRPr="00CB7CBB" w:rsidRDefault="00CE0563" w:rsidP="00577631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BB" w:rsidRPr="00CB7CBB" w:rsidRDefault="00DB1134" w:rsidP="00577631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785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BB" w:rsidRPr="00CB7CBB" w:rsidRDefault="00577631" w:rsidP="00577631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-2</w:t>
            </w:r>
            <w:r w:rsidR="00CB7CBB"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,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72</w:t>
            </w:r>
            <w:r w:rsidR="00CB7CBB" w:rsidRPr="00CB7CBB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BB" w:rsidRPr="00CB7CBB" w:rsidRDefault="00CB7CBB" w:rsidP="00CB7CB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DD3658" w:rsidRDefault="00DD3658" w:rsidP="00DD3658">
      <w:pPr>
        <w:pStyle w:val="Prrafodelista"/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</w:p>
    <w:p w:rsidR="00436721" w:rsidRDefault="00436721" w:rsidP="00436721">
      <w:pPr>
        <w:pStyle w:val="Prrafodelista"/>
        <w:numPr>
          <w:ilvl w:val="1"/>
          <w:numId w:val="3"/>
        </w:numPr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  <w:r w:rsidRPr="007030F0">
        <w:rPr>
          <w:rFonts w:ascii="Century Gothic" w:hAnsi="Century Gothic" w:cs="Arial"/>
          <w:b/>
          <w:sz w:val="22"/>
          <w:szCs w:val="20"/>
          <w:lang w:val="es-MX" w:eastAsia="es-CO"/>
        </w:rPr>
        <w:t>Contratos</w:t>
      </w:r>
    </w:p>
    <w:p w:rsidR="00942176" w:rsidRPr="007030F0" w:rsidRDefault="00942176" w:rsidP="00942176">
      <w:pPr>
        <w:pStyle w:val="Prrafodelista"/>
        <w:spacing w:after="0"/>
        <w:jc w:val="both"/>
        <w:rPr>
          <w:rFonts w:ascii="Century Gothic" w:hAnsi="Century Gothic" w:cs="Arial"/>
          <w:b/>
          <w:sz w:val="22"/>
          <w:szCs w:val="20"/>
          <w:lang w:val="es-MX" w:eastAsia="es-CO"/>
        </w:rPr>
      </w:pPr>
    </w:p>
    <w:p w:rsidR="00436721" w:rsidRDefault="00436721" w:rsidP="00436721">
      <w:pPr>
        <w:pStyle w:val="Default"/>
        <w:numPr>
          <w:ilvl w:val="2"/>
          <w:numId w:val="3"/>
        </w:numPr>
        <w:jc w:val="both"/>
        <w:rPr>
          <w:rFonts w:ascii="Century Gothic" w:eastAsia="Times New Roman" w:hAnsi="Century Gothic"/>
          <w:b/>
          <w:color w:val="auto"/>
          <w:sz w:val="22"/>
          <w:szCs w:val="20"/>
          <w:lang w:val="es-ES_tradnl"/>
        </w:rPr>
      </w:pPr>
      <w:r w:rsidRPr="007030F0">
        <w:rPr>
          <w:rFonts w:ascii="Century Gothic" w:eastAsia="Times New Roman" w:hAnsi="Century Gothic"/>
          <w:b/>
          <w:color w:val="auto"/>
          <w:sz w:val="22"/>
          <w:szCs w:val="20"/>
          <w:lang w:val="es-ES_tradnl"/>
        </w:rPr>
        <w:t>Por funcionamiento</w:t>
      </w:r>
    </w:p>
    <w:p w:rsidR="00EF629B" w:rsidRDefault="00EF629B" w:rsidP="00EF629B">
      <w:pPr>
        <w:pStyle w:val="Default"/>
        <w:ind w:left="1080"/>
        <w:jc w:val="both"/>
        <w:rPr>
          <w:rFonts w:ascii="Century Gothic" w:eastAsia="Times New Roman" w:hAnsi="Century Gothic"/>
          <w:b/>
          <w:color w:val="auto"/>
          <w:sz w:val="22"/>
          <w:szCs w:val="20"/>
          <w:lang w:val="es-ES_tradnl"/>
        </w:rPr>
      </w:pP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15"/>
        <w:gridCol w:w="992"/>
        <w:gridCol w:w="1134"/>
        <w:gridCol w:w="1134"/>
        <w:gridCol w:w="4680"/>
      </w:tblGrid>
      <w:tr w:rsidR="00862C2F" w:rsidRPr="00862C2F" w:rsidTr="008D2907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2F" w:rsidRPr="00862C2F" w:rsidRDefault="00862C2F" w:rsidP="00862C2F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862C2F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Nº</w:t>
            </w:r>
            <w:proofErr w:type="spellEnd"/>
          </w:p>
        </w:tc>
        <w:tc>
          <w:tcPr>
            <w:tcW w:w="47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2F" w:rsidRPr="00862C2F" w:rsidRDefault="00862C2F" w:rsidP="00862C2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C2F" w:rsidRPr="00862C2F" w:rsidRDefault="00862C2F" w:rsidP="00862C2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8D2907" w:rsidRPr="00862C2F" w:rsidTr="006D0983">
        <w:trPr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2F" w:rsidRPr="00862C2F" w:rsidRDefault="00862C2F" w:rsidP="00862C2F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62C2F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2F" w:rsidRPr="00862C2F" w:rsidRDefault="00862C2F" w:rsidP="00862C2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2F" w:rsidRPr="00862C2F" w:rsidRDefault="00862C2F" w:rsidP="00862C2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173C4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2F" w:rsidRPr="00862C2F" w:rsidRDefault="00862C2F" w:rsidP="00862C2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173C4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2F" w:rsidRPr="00862C2F" w:rsidRDefault="00862C2F" w:rsidP="00862C2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Variación de la cantidad entre enero - diciembre de 201</w:t>
            </w:r>
            <w:r w:rsidR="00173C4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respecto al mismo periodo de la vigencia 201</w:t>
            </w:r>
            <w:r w:rsidR="00173C4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B9F" w:rsidRPr="00577B9F" w:rsidRDefault="00577B9F" w:rsidP="00577B9F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577B9F" w:rsidRDefault="00B65215" w:rsidP="00577B9F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</w:t>
            </w:r>
            <w:r w:rsidR="00577B9F" w:rsidRPr="00577B9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evidencia una disminución </w:t>
            </w:r>
            <w:r w:rsidR="00577B9F" w:rsidRPr="00577B9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la contratación de los procesos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Misionales, </w:t>
            </w:r>
            <w:r w:rsidR="00577B9F" w:rsidRPr="00577B9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de </w:t>
            </w:r>
            <w:r w:rsidR="00577B9F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Apoyo</w:t>
            </w:r>
            <w:r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 Estratégicos en un 100%, 50.45, 100% respectivamente, </w:t>
            </w:r>
            <w:r w:rsidR="00577B9F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y</w:t>
            </w:r>
            <w:r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por el contrario para el proceso de</w:t>
            </w:r>
            <w:r w:rsidR="00577B9F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Seguimiento y Control</w:t>
            </w:r>
            <w:r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se da un incremento del 100%</w:t>
            </w:r>
            <w:r w:rsidR="00577B9F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. Teniendo en cuenta lo anterior, </w:t>
            </w:r>
            <w:r w:rsidR="00BD6DA3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para el total del personal contratado se presenta una disminución del 5</w:t>
            </w:r>
            <w:r w:rsidR="0035273C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</w:t>
            </w:r>
            <w:r w:rsidR="00BD6DA3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</w:t>
            </w:r>
            <w:r w:rsidR="0035273C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 w:rsidR="00BD6DA3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="00577B9F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lo que representa </w:t>
            </w:r>
            <w:r w:rsidR="00BD6DA3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 </w:t>
            </w:r>
            <w:r w:rsidR="006F51D9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 w:rsidR="0035273C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69</w:t>
            </w:r>
            <w:r w:rsidR="00577B9F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contratistas </w:t>
            </w:r>
            <w:r w:rsidR="001F13B4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menos en</w:t>
            </w:r>
            <w:r w:rsidR="00577B9F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comparación a la vigencia anterior.</w:t>
            </w:r>
          </w:p>
          <w:p w:rsidR="005517BB" w:rsidRDefault="005517BB" w:rsidP="00577B9F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833877" w:rsidRDefault="00833877" w:rsidP="00577B9F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la vigencia del 2018 únicamente se reportan </w:t>
            </w:r>
            <w:r w:rsidR="001F13B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183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contratistas vinculados por </w:t>
            </w:r>
            <w:r w:rsidR="001F13B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funcionamiento, siendo el </w:t>
            </w:r>
            <w:r w:rsidR="001F13B4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F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ondo para la </w:t>
            </w:r>
            <w:r w:rsidR="001F13B4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R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eparación de las </w:t>
            </w:r>
            <w:r w:rsidR="001F13B4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V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ictimas con 124 contratos ejecutado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s, la entidad con mayor contratación de un 67.75% y la Unidad con 59(32.25%).</w:t>
            </w:r>
          </w:p>
          <w:p w:rsidR="005517BB" w:rsidRDefault="005517BB" w:rsidP="00577B9F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highlight w:val="yellow"/>
                <w:lang w:val="es-CO" w:eastAsia="es-CO"/>
              </w:rPr>
            </w:pPr>
          </w:p>
          <w:p w:rsidR="00833877" w:rsidRDefault="00833877" w:rsidP="00577B9F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El F</w:t>
            </w:r>
            <w:r w:rsid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ondo 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para la </w:t>
            </w:r>
            <w:r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R</w:t>
            </w:r>
            <w:r w:rsid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eparación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de las</w:t>
            </w:r>
            <w:r w:rsid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</w:t>
            </w:r>
            <w:r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V</w:t>
            </w:r>
            <w:r w:rsid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ictimas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para el año 2018</w:t>
            </w:r>
            <w:r w:rsid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ejecuto 124</w:t>
            </w:r>
            <w:r w:rsid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contratos 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funcionamiento en procesos misionales, dando como resultado una disminución de 35(22.01%) contratos menos comparado con el mismo </w:t>
            </w:r>
            <w:r w:rsid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periodo </w:t>
            </w:r>
            <w:r w:rsidR="00BA6400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enero a diciembre de 201</w:t>
            </w:r>
            <w:r w:rsidR="001F13B4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7</w:t>
            </w:r>
            <w:r w:rsidR="00BA6400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</w:t>
            </w:r>
          </w:p>
          <w:p w:rsidR="00862C2F" w:rsidRPr="00862C2F" w:rsidRDefault="00862C2F" w:rsidP="00862C2F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</w:p>
        </w:tc>
      </w:tr>
      <w:tr w:rsidR="00C02B11" w:rsidRPr="00862C2F" w:rsidTr="00942176">
        <w:trPr>
          <w:trHeight w:val="53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62C2F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28" w:rsidRPr="00862C2F" w:rsidRDefault="004E0160" w:rsidP="008F6328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667396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-100</w:t>
            </w:r>
            <w:r w:rsidR="00C02B11"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C02B11" w:rsidRPr="00862C2F" w:rsidTr="00942176">
        <w:trPr>
          <w:trHeight w:val="56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62C2F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Apoyo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11" w:rsidRPr="00862C2F" w:rsidRDefault="006F5489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1D7A15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-50.45</w:t>
            </w:r>
            <w:r w:rsidR="00C02B11"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C02B11" w:rsidRPr="00862C2F" w:rsidTr="00942176">
        <w:trPr>
          <w:trHeight w:val="55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62C2F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Estratégicos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11" w:rsidRPr="00862C2F" w:rsidRDefault="00D41B6F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1D7A1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100</w:t>
            </w:r>
            <w:r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C02B11" w:rsidRPr="00862C2F" w:rsidTr="00942176">
        <w:trPr>
          <w:trHeight w:val="55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62C2F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Seguimiento y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11" w:rsidRPr="00862C2F" w:rsidRDefault="00D41B6F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1D7A15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100</w:t>
            </w:r>
            <w:r w:rsidR="00C02B11"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C02B11" w:rsidRPr="00862C2F" w:rsidTr="00942176">
        <w:trPr>
          <w:trHeight w:val="43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62C2F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 (FRV)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11" w:rsidRPr="00862C2F" w:rsidRDefault="000A15BF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 w:rsidR="00287B8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0A15BF" w:rsidP="004F4BF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643E0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22.01</w:t>
            </w:r>
            <w:r w:rsidR="00C02B11" w:rsidRPr="00862C2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C02B11" w:rsidRPr="00862C2F" w:rsidTr="006D0983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62C2F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 de personal Contratado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C02B11" w:rsidP="004F4B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11" w:rsidRPr="00862C2F" w:rsidRDefault="006F5489" w:rsidP="004F4B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11" w:rsidRPr="00862C2F" w:rsidRDefault="00BA6400" w:rsidP="004F4BF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</w:t>
            </w:r>
            <w:r w:rsidR="00643E0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48.01</w:t>
            </w:r>
            <w:r w:rsidR="00C02B11" w:rsidRPr="00862C2F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2B11" w:rsidRPr="00862C2F" w:rsidRDefault="00C02B11" w:rsidP="00C02B1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436721" w:rsidRDefault="00436721" w:rsidP="00436721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p w:rsidR="00942176" w:rsidRDefault="00942176" w:rsidP="00436721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p w:rsidR="00942176" w:rsidRDefault="00942176" w:rsidP="00436721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p w:rsidR="00EF629B" w:rsidRDefault="00EF629B" w:rsidP="00436721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tbl>
      <w:tblPr>
        <w:tblW w:w="9923" w:type="dxa"/>
        <w:tblInd w:w="-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06"/>
        <w:gridCol w:w="1276"/>
        <w:gridCol w:w="1276"/>
        <w:gridCol w:w="1559"/>
        <w:gridCol w:w="3546"/>
      </w:tblGrid>
      <w:tr w:rsidR="008D2907" w:rsidRPr="008D2907" w:rsidTr="008D2907">
        <w:trPr>
          <w:trHeight w:val="3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7" w:rsidRPr="008D2907" w:rsidRDefault="008D2907" w:rsidP="008D290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8D2907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lastRenderedPageBreak/>
              <w:t>Nº</w:t>
            </w:r>
            <w:proofErr w:type="spellEnd"/>
          </w:p>
        </w:tc>
        <w:tc>
          <w:tcPr>
            <w:tcW w:w="59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7" w:rsidRPr="008D2907" w:rsidRDefault="008D2907" w:rsidP="008D290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Aspectos cuantitativos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907" w:rsidRPr="008D2907" w:rsidRDefault="008D2907" w:rsidP="008D290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8D2907" w:rsidRPr="008D2907" w:rsidTr="008D2907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907" w:rsidRPr="008D2907" w:rsidRDefault="008D2907" w:rsidP="008D2907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D2907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7" w:rsidRPr="008D2907" w:rsidRDefault="008D2907" w:rsidP="008D290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7" w:rsidRPr="008D2907" w:rsidRDefault="008D2907" w:rsidP="008D290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6D09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7" w:rsidRPr="008D2907" w:rsidRDefault="008D2907" w:rsidP="008D290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6D09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07" w:rsidRPr="008D2907" w:rsidRDefault="008D2907" w:rsidP="008D290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Variación de la cantidad entre enero - diciembre de 2017 respecto al mismo periodo de la vigencia 201</w:t>
            </w:r>
            <w:r w:rsidR="009926C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E89" w:rsidRDefault="00BD6DA3" w:rsidP="00246E8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Debido a la reducción de no contrata</w:t>
            </w:r>
            <w:r w:rsid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r </w:t>
            </w:r>
            <w:r w:rsidR="006F51D9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</w:t>
            </w:r>
            <w:r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F44857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169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prestadores de servicios, los costos </w:t>
            </w:r>
            <w:r w:rsid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también presentan un</w:t>
            </w:r>
            <w:r w:rsidR="00947AA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</w:t>
            </w:r>
            <w:r w:rsidR="003C0B3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31FF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reducción importantísima</w:t>
            </w:r>
            <w:r w:rsid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por valor de $ </w:t>
            </w:r>
            <w:r w:rsidR="006F51D9" w:rsidRP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  <w:r w:rsid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F51D9" w:rsidRP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169</w:t>
            </w:r>
            <w:r w:rsid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F51D9" w:rsidRP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435</w:t>
            </w:r>
            <w:r w:rsid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F51D9" w:rsidRPr="006F51D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746</w:t>
            </w:r>
            <w:r w:rsidR="0083387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(</w:t>
            </w:r>
            <w:r w:rsid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47.77</w:t>
            </w:r>
            <w:r w:rsidR="005517B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="0083387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)</w:t>
            </w:r>
          </w:p>
          <w:p w:rsidR="00F44857" w:rsidRPr="00246E89" w:rsidRDefault="00F44857" w:rsidP="00246E8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246E89" w:rsidRDefault="00246E89" w:rsidP="00246E8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 Se valida el comportamiento de la contratación de las dos vigencias y se observa contratistas por funcionamiento a diciembre 201</w:t>
            </w:r>
            <w:r w:rsidR="005517B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7 </w:t>
            </w:r>
            <w:r w:rsidR="008159E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un total de</w:t>
            </w:r>
            <w:r w:rsidR="005517B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193</w:t>
            </w:r>
            <w:r w:rsidR="008159E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7A4F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(54,82%</w:t>
            </w:r>
            <w:r w:rsidR="007A4F3B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);</w:t>
            </w:r>
            <w:r w:rsidR="007A4F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cambio para la vigencia 201</w:t>
            </w:r>
            <w:r w:rsidR="005517B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7A4F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durante todo el año 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contrató </w:t>
            </w:r>
            <w:r w:rsidR="007A4F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solamente </w:t>
            </w:r>
            <w:r w:rsidR="005517B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59</w:t>
            </w:r>
            <w:r w:rsidR="007A4F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prestadores de servicios, reflejando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que para la</w:t>
            </w:r>
            <w:r w:rsidR="007A4F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vigencia del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201</w:t>
            </w:r>
            <w:r w:rsidR="007A4F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7 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pag</w:t>
            </w:r>
            <w:r w:rsidR="007A4F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ó a 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más contratistas desde </w:t>
            </w:r>
            <w:r w:rsidR="00C0683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 primer trimestre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comparación a la vigencia actual.</w:t>
            </w:r>
          </w:p>
          <w:p w:rsidR="00DC772A" w:rsidRPr="00246E89" w:rsidRDefault="00DC772A" w:rsidP="00246E8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8D2907" w:rsidRPr="008D2907" w:rsidRDefault="00246E89" w:rsidP="00246E8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2. Validando los pagos se observa que no todos los contratistas pasaron la cuenta al corte</w:t>
            </w:r>
            <w:r w:rsidR="00DC772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diciembre de 2018</w:t>
            </w:r>
            <w:r w:rsidRPr="00246E8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r w:rsidR="00DC772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razón por la cual la obligación se revela en cuentas por pagar de diciembre-2018</w:t>
            </w:r>
          </w:p>
        </w:tc>
      </w:tr>
      <w:tr w:rsidR="00A33251" w:rsidRPr="008D2907" w:rsidTr="00BD6DA3">
        <w:trPr>
          <w:trHeight w:val="71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A33251" w:rsidP="00A3325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D2907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1" w:rsidRPr="008D2907" w:rsidRDefault="00A33251" w:rsidP="00A3325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A33251" w:rsidP="00BD6DA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6.634.629.899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Default="00E6074A" w:rsidP="00BD6DA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3.465</w:t>
            </w:r>
            <w:r w:rsidR="00D00F1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.194.153</w:t>
            </w:r>
          </w:p>
          <w:p w:rsidR="00854A19" w:rsidRPr="008D2907" w:rsidRDefault="00854A19" w:rsidP="00BD6DA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BD6DA3" w:rsidP="00BD6DA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47.77</w:t>
            </w:r>
            <w:r w:rsidR="00A33251" w:rsidRP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51" w:rsidRPr="008D2907" w:rsidRDefault="00A33251" w:rsidP="00A3325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33251" w:rsidRPr="008D2907" w:rsidTr="00BD6DA3">
        <w:trPr>
          <w:trHeight w:val="69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A33251" w:rsidP="00A3325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D2907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1" w:rsidRPr="008D2907" w:rsidRDefault="00A33251" w:rsidP="00A3325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 FRV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A33251" w:rsidP="00BD6DA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5.147.697.173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471E90" w:rsidP="00BD6DA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5.777.565.260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6F5489" w:rsidP="00BD6DA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12.23</w:t>
            </w:r>
            <w:r w:rsidR="00A33251" w:rsidRPr="008D29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51" w:rsidRPr="008D2907" w:rsidRDefault="00A33251" w:rsidP="00A3325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33251" w:rsidRPr="008D2907" w:rsidTr="00BD6DA3">
        <w:trPr>
          <w:trHeight w:val="83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A33251" w:rsidP="00A3325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D2907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A33251" w:rsidP="00A3325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A33251" w:rsidP="00BD6DA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D290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11.782.327.072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6F5489" w:rsidP="00BD6DA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F548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6F548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612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6F548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891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6F548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51" w:rsidRPr="008D2907" w:rsidRDefault="00BD6DA3" w:rsidP="00BD6DA3">
            <w:pPr>
              <w:spacing w:after="0"/>
              <w:jc w:val="center"/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-</w:t>
            </w:r>
            <w:r w:rsidR="006F5489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26.89</w:t>
            </w:r>
            <w:r w:rsidR="00A33251" w:rsidRPr="008D2907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3251" w:rsidRPr="008D2907" w:rsidRDefault="00A33251" w:rsidP="00A3325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436721" w:rsidRDefault="00436721" w:rsidP="00436721">
      <w:pPr>
        <w:spacing w:after="0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:rsidR="00436721" w:rsidRPr="00080481" w:rsidRDefault="00436721" w:rsidP="00436721">
      <w:pPr>
        <w:pStyle w:val="Prrafodelista"/>
        <w:numPr>
          <w:ilvl w:val="2"/>
          <w:numId w:val="3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C23F7">
        <w:rPr>
          <w:rFonts w:ascii="Century Gothic" w:hAnsi="Century Gothic" w:cs="Arial"/>
          <w:b/>
          <w:sz w:val="20"/>
          <w:szCs w:val="20"/>
          <w:lang w:val="es-MX" w:eastAsia="es-CO"/>
        </w:rPr>
        <w:t xml:space="preserve">Servicios </w:t>
      </w:r>
      <w:r w:rsidRPr="007C1470">
        <w:rPr>
          <w:rFonts w:ascii="Century Gothic" w:hAnsi="Century Gothic" w:cs="Arial"/>
          <w:b/>
          <w:sz w:val="20"/>
          <w:szCs w:val="20"/>
          <w:lang w:val="es-MX" w:eastAsia="es-CO"/>
        </w:rPr>
        <w:t>personales por inversión</w:t>
      </w:r>
    </w:p>
    <w:p w:rsidR="00436721" w:rsidRPr="00080481" w:rsidRDefault="00436721" w:rsidP="00436721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92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10"/>
        <w:gridCol w:w="1276"/>
        <w:gridCol w:w="1276"/>
        <w:gridCol w:w="1559"/>
        <w:gridCol w:w="3544"/>
      </w:tblGrid>
      <w:tr w:rsidR="004E420E" w:rsidRPr="004E420E" w:rsidTr="004E420E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Nº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4E420E" w:rsidRPr="004E420E" w:rsidTr="004E420E">
        <w:trPr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74454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74454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Variación de la cantidad entre enero - diciembre de 2017 respecto al mismo periodo de la vigencia 2</w:t>
            </w:r>
            <w:r w:rsidR="0092241C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420E" w:rsidRDefault="00DC65B8" w:rsidP="004E420E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evidencia 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un incremento 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 nivel general </w:t>
            </w:r>
            <w:r w:rsidR="006C50F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el año 2018 comparado con el año 2017 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197 </w:t>
            </w:r>
            <w:r w:rsidR="006C50F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pr</w:t>
            </w:r>
            <w:r w:rsidR="0074029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of</w:t>
            </w:r>
            <w:r w:rsidR="006C50F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esionales por servicios 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(16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80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) 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representados en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9224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114</w:t>
            </w:r>
            <w:r w:rsidR="006C50F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(13.72%) para procesos misionales </w:t>
            </w:r>
            <w:r w:rsidR="006C50F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y 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137</w:t>
            </w:r>
            <w:r w:rsidR="006C50F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(135.64%) </w:t>
            </w:r>
            <w:r w:rsid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procesos estratégicos 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fortaleciendo l</w:t>
            </w:r>
            <w:r w:rsidR="006C50F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os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procesos 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y 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una reducción de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74029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54 </w:t>
            </w:r>
            <w:r w:rsidR="00243BDD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contratistas 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(</w:t>
            </w:r>
            <w:r w:rsidR="0074029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-21.95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="00243BD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)</w:t>
            </w:r>
            <w:r w:rsidR="006C50F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el proceso estratégico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:rsidR="00A94311" w:rsidRDefault="00A94311" w:rsidP="004E420E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984473" w:rsidRDefault="006C50FA" w:rsidP="004E420E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 incremento</w:t>
            </w:r>
            <w:r w:rsidR="009E069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197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la cantidad de contratistas por servicios profesionales y el valor de los honorarios hace que se aumente gasto de la inversión</w:t>
            </w:r>
            <w:r w:rsidR="009E069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equivalente a un 16.73% del valor total.</w:t>
            </w:r>
          </w:p>
          <w:p w:rsidR="00984473" w:rsidRDefault="00984473" w:rsidP="004E420E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6C50FA" w:rsidRPr="004E420E" w:rsidRDefault="00984473" w:rsidP="004E420E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F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ondo para la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R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eparación de las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V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ictimas </w:t>
            </w:r>
            <w:r w:rsidR="004A1CB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solo ejecuto 1 contrato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por inversión para el año 2.018</w:t>
            </w:r>
            <w:r w:rsidR="004A1CB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. </w:t>
            </w:r>
          </w:p>
        </w:tc>
      </w:tr>
      <w:tr w:rsidR="00744541" w:rsidRPr="004E420E" w:rsidTr="005A11A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41" w:rsidRPr="004E420E" w:rsidRDefault="00285512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F44857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13.72</w:t>
            </w:r>
            <w:r w:rsidR="00744541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744541" w:rsidRPr="004E420E" w:rsidTr="005A11A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Apoyo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41" w:rsidRPr="004E420E" w:rsidRDefault="005A11A7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029C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-21.95</w:t>
            </w:r>
            <w:r w:rsidR="00744541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744541" w:rsidRPr="004E420E" w:rsidTr="005A11A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Estratégicos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41" w:rsidRPr="004E420E" w:rsidRDefault="00285512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243BDD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135.64</w:t>
            </w:r>
            <w:r w:rsidR="00744541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744541" w:rsidRPr="004E420E" w:rsidTr="005A11A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Seguimiento y Control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1A7" w:rsidRPr="004E420E" w:rsidRDefault="005A11A7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643E05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  <w:r w:rsidR="00744541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744541" w:rsidRPr="004E420E" w:rsidTr="005A11A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 (FRV)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41" w:rsidRPr="004E420E" w:rsidRDefault="0010575F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6B1264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</w:t>
            </w:r>
            <w:r w:rsidR="00744541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0,00%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744541" w:rsidRPr="004E420E" w:rsidTr="005A11A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 de personal Contratado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744541" w:rsidP="005A11A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</w:t>
            </w:r>
            <w:r w:rsidR="0028551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41" w:rsidRPr="004E420E" w:rsidRDefault="005A11A7" w:rsidP="005A11A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1.37</w:t>
            </w:r>
            <w:r w:rsidR="006B126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41" w:rsidRPr="004E420E" w:rsidRDefault="00DC65B8" w:rsidP="005A11A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16.</w:t>
            </w:r>
            <w:r w:rsidR="006B126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80</w:t>
            </w:r>
            <w:r w:rsidR="00744541"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541" w:rsidRPr="004E420E" w:rsidRDefault="00744541" w:rsidP="007445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FD76F2" w:rsidRDefault="00FD76F2" w:rsidP="00436721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tbl>
      <w:tblPr>
        <w:tblW w:w="992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10"/>
        <w:gridCol w:w="1276"/>
        <w:gridCol w:w="1276"/>
        <w:gridCol w:w="1559"/>
        <w:gridCol w:w="3544"/>
      </w:tblGrid>
      <w:tr w:rsidR="004E420E" w:rsidRPr="004E420E" w:rsidTr="004E420E">
        <w:trPr>
          <w:trHeight w:val="3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Nº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Aspectos cuantitativos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4E420E" w:rsidRPr="004E420E" w:rsidTr="004E420E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F704C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F704C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Variación de la cantidad entre enero - diciembre de 2017 respecto al mismo periodo de la vigencia 201</w:t>
            </w:r>
            <w:r w:rsidR="00FC45A8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45A8" w:rsidRDefault="00FC45A8" w:rsidP="00C0683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</w:t>
            </w:r>
            <w:r w:rsidR="00902C9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observa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que para </w:t>
            </w:r>
            <w:r w:rsidR="00902C9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 rubro de servicios personales indirectos en el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2018 se incrementa el valor de los servicios contratados en los procesos misionales, de apoyo y estratégicos por los valores</w:t>
            </w:r>
            <w:r w:rsidR="00262D8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incrementados en los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honorarios</w:t>
            </w:r>
            <w:r w:rsidR="00262D8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262D8E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cancelados </w:t>
            </w:r>
            <w:r w:rsidR="0074029C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$ 28.172 008 061 correspondientes al 39.8</w:t>
            </w:r>
            <w:r w:rsidR="00F44857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 más de lo cancelado durante el mismo periodo para el año 2017.</w:t>
            </w:r>
          </w:p>
          <w:p w:rsidR="009E069B" w:rsidRDefault="009E069B" w:rsidP="00C0683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CF5567" w:rsidRDefault="00CF5567" w:rsidP="00C0683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Con seguridad se puede apreciar que </w:t>
            </w:r>
            <w:r w:rsidR="009E069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valor total </w:t>
            </w:r>
            <w:r w:rsidR="00D155D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cancelado a los contratistas por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inversión </w:t>
            </w:r>
            <w:r w:rsid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</w:t>
            </w:r>
            <w:r w:rsidR="00F44857" w:rsidRPr="00F44857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  <w:lang w:val="es-CO" w:eastAsia="es-CO"/>
              </w:rPr>
              <w:t>SERVICIOS PERSONALES INDIRECTOS</w:t>
            </w:r>
            <w:r w:rsidR="00F44857"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representa un </w:t>
            </w:r>
            <w:r w:rsid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incremento d</w:t>
            </w:r>
            <w:r w:rsidR="00F44857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</w:t>
            </w:r>
            <w:r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66.17%</w:t>
            </w:r>
            <w:r w:rsidR="00F44857" w:rsidRPr="00F4485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:rsidR="00F44857" w:rsidRDefault="00F44857" w:rsidP="00C0683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9E069B" w:rsidRDefault="00CF5567" w:rsidP="00C0683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Sin embargo, en el total cancelado a los contratistas por inversión representa</w:t>
            </w:r>
            <w:r w:rsidR="00D155D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u</w:t>
            </w:r>
            <w:r w:rsidR="00D155D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n 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incremento del </w:t>
            </w:r>
            <w:r w:rsidR="009E069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57.9</w:t>
            </w:r>
            <w:r w:rsidR="00D155D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  <w:r w:rsidR="009E069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 con respecto a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</w:t>
            </w:r>
            <w:r w:rsidR="009E069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periodo anterior tomado como base.</w:t>
            </w:r>
          </w:p>
          <w:p w:rsidR="00F44857" w:rsidRDefault="00F44857" w:rsidP="00C0683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4E420E" w:rsidRPr="004E420E" w:rsidRDefault="00FC45A8" w:rsidP="00C0683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F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ondo para la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R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eparación de las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V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ictimas </w:t>
            </w:r>
            <w:r w:rsidR="00CF556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solo ejecuto 1 contrato por inversión para el año 2.018 por el valor 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 $15.000.000</w:t>
            </w:r>
            <w:r w:rsidR="00CF556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</w:tr>
      <w:tr w:rsidR="004E420E" w:rsidRPr="004E420E" w:rsidTr="001B1A41">
        <w:trPr>
          <w:trHeight w:val="65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SERVICIOS PERSONALES INDIRECTOS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F704C4" w:rsidP="00DA26D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42.574.798.796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8F6328" w:rsidP="00DA26D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</w:t>
            </w:r>
            <w:r w:rsidR="00D00F10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5A11A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70.746.806.857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6C50FA" w:rsidP="00DA26D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66.17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0E" w:rsidRPr="004E420E" w:rsidRDefault="004E420E" w:rsidP="004E420E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4E420E" w:rsidRPr="004E420E" w:rsidTr="001B1A41">
        <w:trPr>
          <w:trHeight w:val="57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0E" w:rsidRPr="004E420E" w:rsidRDefault="004E420E" w:rsidP="004E420E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 - FRV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DA26D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DA26D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$ </w:t>
            </w:r>
            <w:r w:rsidR="00282D4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 w:rsidR="00DA26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DA26DC" w:rsidP="00DA26D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</w:t>
            </w:r>
            <w:r w:rsidR="004E420E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0,00%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0E" w:rsidRPr="004E420E" w:rsidRDefault="004E420E" w:rsidP="004E420E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4E420E" w:rsidRPr="004E420E" w:rsidTr="001B1A41">
        <w:trPr>
          <w:trHeight w:val="113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4E420E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4E420E" w:rsidP="004E420E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5A11A7" w:rsidP="00370B3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4485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$ </w:t>
            </w:r>
            <w:r w:rsidR="00F44857" w:rsidRPr="00F4485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42.574.798.796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4E420E" w:rsidRDefault="005A11A7" w:rsidP="00370B3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$ </w:t>
            </w:r>
            <w:r w:rsidR="00DA26DC" w:rsidRPr="00DA26DC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70</w:t>
            </w:r>
            <w:r w:rsidR="00D155D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761</w:t>
            </w:r>
            <w:r w:rsidR="00D155D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806</w:t>
            </w:r>
            <w:r w:rsidR="00D155D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0E" w:rsidRPr="009E069B" w:rsidRDefault="009E069B" w:rsidP="00370B30">
            <w:pPr>
              <w:spacing w:after="0"/>
              <w:jc w:val="center"/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57.9</w:t>
            </w:r>
            <w:r w:rsidR="00D155D1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7</w:t>
            </w:r>
            <w:r w:rsidR="004E420E" w:rsidRPr="009E069B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420E" w:rsidRPr="004E420E" w:rsidRDefault="004E420E" w:rsidP="004E420E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436721" w:rsidRPr="009572B0" w:rsidRDefault="00436721" w:rsidP="00436721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:rsidR="00436721" w:rsidRPr="009572B0" w:rsidRDefault="00436721" w:rsidP="00436721">
      <w:pPr>
        <w:pStyle w:val="Prrafodelista"/>
        <w:numPr>
          <w:ilvl w:val="1"/>
          <w:numId w:val="4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:rsidR="00436721" w:rsidRPr="009572B0" w:rsidRDefault="00436721" w:rsidP="00436721">
      <w:pPr>
        <w:pStyle w:val="Prrafodelista"/>
        <w:numPr>
          <w:ilvl w:val="1"/>
          <w:numId w:val="4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:rsidR="00436721" w:rsidRPr="009572B0" w:rsidRDefault="00436721" w:rsidP="00436721">
      <w:pPr>
        <w:pStyle w:val="Prrafodelista"/>
        <w:numPr>
          <w:ilvl w:val="2"/>
          <w:numId w:val="4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:rsidR="00436721" w:rsidRPr="009572B0" w:rsidRDefault="00436721" w:rsidP="00436721">
      <w:pPr>
        <w:pStyle w:val="Prrafodelista"/>
        <w:numPr>
          <w:ilvl w:val="2"/>
          <w:numId w:val="4"/>
        </w:numPr>
        <w:jc w:val="both"/>
        <w:rPr>
          <w:rFonts w:ascii="Century Gothic" w:hAnsi="Century Gothic" w:cs="Arial"/>
          <w:b/>
          <w:vanish/>
          <w:sz w:val="20"/>
          <w:szCs w:val="20"/>
          <w:lang w:val="es-MX" w:eastAsia="es-CO"/>
        </w:rPr>
      </w:pPr>
    </w:p>
    <w:p w:rsidR="00F44857" w:rsidRPr="00F44857" w:rsidRDefault="00F44857" w:rsidP="00F44857">
      <w:pPr>
        <w:pStyle w:val="Prrafodelista"/>
        <w:ind w:left="1080"/>
        <w:jc w:val="both"/>
        <w:rPr>
          <w:rFonts w:ascii="Century Gothic" w:hAnsi="Century Gothic"/>
          <w:b/>
          <w:sz w:val="20"/>
          <w:szCs w:val="20"/>
        </w:rPr>
      </w:pPr>
    </w:p>
    <w:p w:rsidR="00436721" w:rsidRPr="009572B0" w:rsidRDefault="00436721" w:rsidP="00436721">
      <w:pPr>
        <w:pStyle w:val="Prrafodelista"/>
        <w:numPr>
          <w:ilvl w:val="2"/>
          <w:numId w:val="4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s-MX" w:eastAsia="es-CO"/>
        </w:rPr>
        <w:t>Personal contratado consolidado.</w:t>
      </w:r>
    </w:p>
    <w:tbl>
      <w:tblPr>
        <w:tblW w:w="992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10"/>
        <w:gridCol w:w="1276"/>
        <w:gridCol w:w="1276"/>
        <w:gridCol w:w="1559"/>
        <w:gridCol w:w="3544"/>
      </w:tblGrid>
      <w:tr w:rsidR="00885699" w:rsidRPr="00885699" w:rsidTr="00AC33B1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99" w:rsidRPr="00885699" w:rsidRDefault="00885699" w:rsidP="00885699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885699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Nº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99" w:rsidRPr="00885699" w:rsidRDefault="00885699" w:rsidP="0088569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5699" w:rsidRPr="00885699" w:rsidRDefault="00885699" w:rsidP="0088569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885699" w:rsidRPr="00885699" w:rsidTr="00AC33B1">
        <w:trPr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699" w:rsidRPr="00885699" w:rsidRDefault="00885699" w:rsidP="00885699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85699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99" w:rsidRPr="00885699" w:rsidRDefault="00885699" w:rsidP="0088569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99" w:rsidRPr="00885699" w:rsidRDefault="00885699" w:rsidP="0088569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</w:t>
            </w:r>
            <w:r w:rsidR="00AC33B1"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enero</w:t>
            </w: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</w:t>
            </w:r>
            <w:r w:rsidR="00AC33B1"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diciembre</w:t>
            </w: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la vigencia 201</w:t>
            </w:r>
            <w:r w:rsidR="0028551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99" w:rsidRPr="00885699" w:rsidRDefault="00885699" w:rsidP="0088569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entre </w:t>
            </w:r>
            <w:r w:rsidR="00AC33B1"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enero</w:t>
            </w: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</w:t>
            </w:r>
            <w:r w:rsidR="00AC33B1"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diciembre</w:t>
            </w: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la vigencia 201</w:t>
            </w:r>
            <w:r w:rsidR="0028551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99" w:rsidRPr="00885699" w:rsidRDefault="00885699" w:rsidP="0088569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</w:t>
            </w:r>
            <w:r w:rsidR="00AC33B1"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Variación</w:t>
            </w: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la cantidad entre </w:t>
            </w:r>
            <w:r w:rsidR="00AC33B1"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enero</w:t>
            </w: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diciembre de 2017 respecto al mismo periodo de la vigencia 201</w:t>
            </w:r>
            <w:r w:rsidR="004E60B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3B1" w:rsidRDefault="00790824" w:rsidP="0088569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 el consolidado de la información para la vigencia 201</w:t>
            </w:r>
            <w:r w:rsidR="00A83C6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 respecto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 la vigencia 201</w:t>
            </w:r>
            <w:r w:rsidR="0051483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se evidencia </w:t>
            </w:r>
            <w:r w:rsidR="00A83C6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que </w:t>
            </w:r>
            <w:r w:rsidR="00F21DF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los procesos Misionales 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asciende a </w:t>
            </w:r>
            <w:r w:rsidR="00F21DF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24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contratistas lo cual representa al </w:t>
            </w:r>
            <w:r w:rsidR="00F21DF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2.60% y 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</w:t>
            </w:r>
            <w:r w:rsidR="00F21DF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Estratégicos 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de igual forma incrementa en </w:t>
            </w:r>
            <w:r w:rsidR="00F21DF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132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que representa el </w:t>
            </w:r>
            <w:r w:rsidR="00F21DF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124.58%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</w:t>
            </w:r>
            <w:r w:rsidR="00F21DF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contratistas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, siendo este</w:t>
            </w:r>
            <w:r w:rsidR="00A83C6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el incremento más representativo.</w:t>
            </w:r>
          </w:p>
          <w:p w:rsidR="00A83C68" w:rsidRDefault="00A83C68" w:rsidP="0088569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2E0CF2" w:rsidRDefault="00A83C68" w:rsidP="0088569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Por el </w:t>
            </w:r>
            <w:r w:rsidR="002E0CF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contrario,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para la vigencia 2018 con respecto</w:t>
            </w:r>
            <w:r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 la vigencia 201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7 </w:t>
            </w:r>
            <w:r w:rsidR="002266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los procesos 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apoyo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disminuye</w:t>
            </w:r>
            <w:r w:rsid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ron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</w:t>
            </w:r>
            <w:r w:rsid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100 contratistas</w:t>
            </w:r>
            <w:r w:rsidR="00521A5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lo que representa un decrecimiento del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29.67</w:t>
            </w:r>
            <w:r w:rsidR="002E0CF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 Así mismo en</w:t>
            </w:r>
            <w:r w:rsidR="002E0CF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Seguimiento y Control </w:t>
            </w:r>
            <w:r w:rsid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observa una disminución significativa de </w:t>
            </w:r>
            <w:r w:rsidR="002E0CF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140</w:t>
            </w:r>
            <w:r w:rsid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contratista lo cual representa una disminución del </w:t>
            </w:r>
            <w:r w:rsidR="002E0CF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91.19%</w:t>
            </w:r>
            <w:r w:rsid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,</w:t>
            </w:r>
            <w:r w:rsidR="002E0CF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35273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siendo esta una</w:t>
            </w:r>
            <w:r w:rsidR="002E0CF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reducción representativa.</w:t>
            </w:r>
          </w:p>
          <w:p w:rsidR="00643E05" w:rsidRDefault="00643E05" w:rsidP="0088569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4268B5" w:rsidRDefault="00643E05" w:rsidP="00885699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F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ondo para la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R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eparación de las </w:t>
            </w:r>
            <w:r w:rsidR="004268B5" w:rsidRPr="000A15B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V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ictimas contrato a 125</w:t>
            </w:r>
            <w:r w:rsidR="0096667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</w:t>
            </w:r>
            <w:r w:rsidR="0096667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78.61</w:t>
            </w:r>
            <w:r w:rsidR="004268B5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%) prestadores de servicios por todo el año 2018. </w:t>
            </w:r>
          </w:p>
          <w:p w:rsidR="004268B5" w:rsidRDefault="004268B5" w:rsidP="00885699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  <w:p w:rsidR="004268B5" w:rsidRDefault="004268B5" w:rsidP="00885699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La Unidad con 1.</w:t>
            </w:r>
            <w:r w:rsidR="0096667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559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(92.</w:t>
            </w:r>
            <w:r w:rsidR="0096667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68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%</w:t>
            </w:r>
            <w:r w:rsidR="0096667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) 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prestadores de servicios por todo el año 2018.</w:t>
            </w:r>
          </w:p>
          <w:p w:rsidR="00885699" w:rsidRPr="00885699" w:rsidRDefault="00A83C68" w:rsidP="00885699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="002266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Teniendo en cuenta la totalidad de 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contratación en</w:t>
            </w:r>
            <w:r w:rsidR="002266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cada uno de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los procesos </w:t>
            </w:r>
            <w:r w:rsidR="002266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evidencia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un</w:t>
            </w:r>
            <w:r w:rsidR="0022668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4268B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reducción </w:t>
            </w:r>
            <w:r w:rsidR="004268B5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total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</w:t>
            </w:r>
            <w:r w:rsidR="005B681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7.6</w:t>
            </w:r>
            <w:r w:rsidR="009666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%, lo que representa </w:t>
            </w:r>
            <w:r w:rsidR="005B681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123 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contratistas m</w:t>
            </w:r>
            <w:r w:rsidR="009666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enos</w:t>
            </w:r>
            <w:r w:rsidR="00885699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, en comparación a la vigencia anterior.</w:t>
            </w:r>
          </w:p>
        </w:tc>
      </w:tr>
      <w:tr w:rsidR="001B1A41" w:rsidRPr="00885699" w:rsidTr="005A11A7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85699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D261D3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5517BB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2.60</w:t>
            </w:r>
            <w:r w:rsidR="001B1A41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41" w:rsidRPr="00885699" w:rsidRDefault="001B1A41" w:rsidP="001B1A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1B1A41" w:rsidRPr="00885699" w:rsidTr="005A11A7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85699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Apoyo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5517BB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3D3CE6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-29.67</w:t>
            </w:r>
            <w:r w:rsidR="001B1A41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41" w:rsidRPr="00885699" w:rsidRDefault="001B1A41" w:rsidP="001B1A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1B1A41" w:rsidRPr="00885699" w:rsidTr="005A11A7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85699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Estratégicos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D261D3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3D3CE6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124.58</w:t>
            </w:r>
            <w:r w:rsidR="001B1A41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41" w:rsidRPr="00885699" w:rsidRDefault="001B1A41" w:rsidP="001B1A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1B1A41" w:rsidRPr="00885699" w:rsidTr="005A11A7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85699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Seguimiento y Control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D261D3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3D3CE6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-91.19</w:t>
            </w:r>
            <w:r w:rsidR="001B1A41"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41" w:rsidRPr="00885699" w:rsidRDefault="001B1A41" w:rsidP="001B1A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1B1A41" w:rsidRPr="00885699" w:rsidTr="005A11A7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85699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contratado Procesos Misionales (FRV)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6F57F2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</w:t>
            </w:r>
            <w:r w:rsidR="004268B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3D3CE6" w:rsidP="005A11A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9666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966678" w:rsidRPr="009666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21.38</w:t>
            </w:r>
            <w:r w:rsidR="001B1A41" w:rsidRPr="009666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41" w:rsidRPr="00885699" w:rsidRDefault="001B1A41" w:rsidP="001B1A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1B1A41" w:rsidRPr="00885699" w:rsidTr="005A11A7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1B1A4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885699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41" w:rsidRPr="00885699" w:rsidRDefault="001B1A41" w:rsidP="001B1A4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 de personal Contratado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1B1A41" w:rsidP="005A11A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.</w:t>
            </w:r>
            <w:r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6F57F2" w:rsidP="005A11A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1.55</w:t>
            </w:r>
            <w:r w:rsidR="004268B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41" w:rsidRPr="00885699" w:rsidRDefault="003D3CE6" w:rsidP="005A11A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</w:t>
            </w:r>
            <w:r w:rsidR="005B6816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7.60</w:t>
            </w:r>
            <w:r w:rsidR="001B1A41" w:rsidRPr="0088569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1A41" w:rsidRPr="00885699" w:rsidRDefault="001B1A41" w:rsidP="001B1A41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436721" w:rsidRDefault="00436721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tbl>
      <w:tblPr>
        <w:tblW w:w="992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10"/>
        <w:gridCol w:w="1276"/>
        <w:gridCol w:w="1276"/>
        <w:gridCol w:w="1559"/>
        <w:gridCol w:w="3544"/>
      </w:tblGrid>
      <w:tr w:rsidR="00AC33B1" w:rsidRPr="00AC33B1" w:rsidTr="00AC33B1">
        <w:trPr>
          <w:trHeight w:val="3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B1" w:rsidRPr="00AC33B1" w:rsidRDefault="00AC33B1" w:rsidP="00AC33B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C33B1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Nº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B1" w:rsidRPr="00AC33B1" w:rsidRDefault="00AC33B1" w:rsidP="00AC33B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Aspectos cuantitativos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3B1" w:rsidRPr="00AC33B1" w:rsidRDefault="00AC33B1" w:rsidP="00AC33B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AC33B1" w:rsidRPr="00AC33B1" w:rsidTr="00C06830">
        <w:trPr>
          <w:trHeight w:val="110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3B1" w:rsidRPr="00AC33B1" w:rsidRDefault="00AC33B1" w:rsidP="00AC33B1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AC33B1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1" w:rsidRPr="00AC33B1" w:rsidRDefault="00AC33B1" w:rsidP="00AC33B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1" w:rsidRPr="00AC33B1" w:rsidRDefault="00AC33B1" w:rsidP="00AC33B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1" w:rsidRPr="00AC33B1" w:rsidRDefault="00AC33B1" w:rsidP="00AC33B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B1" w:rsidRPr="00AC33B1" w:rsidRDefault="00AC33B1" w:rsidP="00AC33B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Variación de la cantidad entre enero - diciembre de 2017 respecto al mismo periodo de la vigencia 2016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3B1" w:rsidRDefault="00AC33B1" w:rsidP="00AC33B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rubro de servicios personales indirectos </w:t>
            </w:r>
            <w:r w:rsidR="00B86BA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para el año 2018 </w:t>
            </w:r>
            <w:r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presenta un</w:t>
            </w:r>
            <w:r w:rsidR="00E25E6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incremento </w:t>
            </w:r>
            <w:r w:rsid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en los pagos por honorarios por </w:t>
            </w:r>
            <w:r w:rsid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</w:t>
            </w:r>
            <w:r w:rsidR="00605A72">
              <w:t xml:space="preserve"> </w:t>
            </w:r>
            <w:r w:rsidR="00605A72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25</w:t>
            </w:r>
            <w:r w:rsid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05A72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002</w:t>
            </w:r>
            <w:r w:rsid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05A72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572</w:t>
            </w:r>
            <w:r w:rsid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05A72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315 </w:t>
            </w:r>
            <w:r w:rsidR="00B86BA7" w:rsidRPr="005F740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(33.69</w:t>
            </w:r>
            <w:r w:rsidRPr="005F740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="00B86BA7" w:rsidRPr="005F740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) </w:t>
            </w:r>
            <w:r w:rsidRPr="005F7409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respecto al año anterior por las siguientes razones:</w:t>
            </w:r>
          </w:p>
          <w:p w:rsidR="00AC33B1" w:rsidRDefault="00AC33B1" w:rsidP="00AC33B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  <w:t xml:space="preserve">1. </w:t>
            </w:r>
            <w:r w:rsidR="00B86BA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evidencia que los honorarios de contratación al personal por servicios profesionales</w:t>
            </w:r>
            <w:r w:rsidR="00146A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indirectos presento un incremento del 50.81% </w:t>
            </w:r>
            <w:r w:rsidR="00146A98"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respecto al año anterior</w:t>
            </w:r>
            <w:r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:rsidR="001C29EE" w:rsidRDefault="001C29EE" w:rsidP="00AC33B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1C29EE" w:rsidRDefault="00AC33B1" w:rsidP="00AC33B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2. </w:t>
            </w:r>
            <w:r w:rsidR="00146A98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El </w:t>
            </w:r>
            <w:r w:rsidR="00605A72" w:rsidRP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Fondo para la Reparación de las Victimas</w:t>
            </w:r>
            <w:r w:rsid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presenta un incremento en los pagos por honorarios durante el año 2018 por valor </w:t>
            </w:r>
            <w:r w:rsidR="00087C9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de $</w:t>
            </w:r>
            <w:r w:rsidR="00605A72" w:rsidRP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644</w:t>
            </w:r>
            <w:r w:rsid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</w:t>
            </w:r>
            <w:r w:rsidR="00605A72" w:rsidRP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868</w:t>
            </w:r>
            <w:r w:rsid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</w:t>
            </w:r>
            <w:r w:rsidR="00605A72" w:rsidRP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087</w:t>
            </w:r>
            <w:r w:rsidR="00605A72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(12.5</w:t>
            </w:r>
            <w:r w:rsidR="0096667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3%) respecto</w:t>
            </w:r>
            <w:r w:rsidR="00605A72"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al año anterior.</w:t>
            </w:r>
          </w:p>
          <w:p w:rsidR="00605A72" w:rsidRDefault="00605A72" w:rsidP="00AC33B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AC33B1" w:rsidRPr="00AC33B1" w:rsidRDefault="00AC33B1" w:rsidP="00AC33B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3. </w:t>
            </w:r>
            <w:r w:rsidR="00146A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el total de los valores cancelados por prestación de servicios se observa un incremento </w:t>
            </w:r>
            <w:r w:rsidR="00087C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 $</w:t>
            </w:r>
            <w:r w:rsidR="00605A72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25</w:t>
            </w:r>
            <w:r w:rsid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05A72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647</w:t>
            </w:r>
            <w:r w:rsid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05A72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440</w:t>
            </w:r>
            <w:r w:rsid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605A72" w:rsidRP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402</w:t>
            </w:r>
            <w:r w:rsidR="00605A7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BC1FF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(</w:t>
            </w:r>
            <w:r w:rsidR="00234D0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47.18</w:t>
            </w:r>
            <w:r w:rsidR="00BC1FF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%)</w:t>
            </w:r>
            <w:r w:rsidR="00146A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generado por </w:t>
            </w:r>
            <w:r w:rsidR="00BC1FF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</w:t>
            </w:r>
            <w:r w:rsidR="00146A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incremento </w:t>
            </w:r>
            <w:r w:rsidR="00BC1FF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en </w:t>
            </w:r>
            <w:r w:rsidR="00087C9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el número</w:t>
            </w:r>
            <w:r w:rsidR="00BC1FF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 profesionales contratados y el </w:t>
            </w:r>
            <w:r w:rsidR="00234D0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incremento</w:t>
            </w:r>
            <w:r w:rsidR="00BC1FF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sus respectivos honorarios</w:t>
            </w:r>
            <w:r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</w:tr>
      <w:tr w:rsidR="00AC6453" w:rsidRPr="00AC33B1" w:rsidTr="00F3587B">
        <w:trPr>
          <w:trHeight w:val="97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53" w:rsidRPr="00AC33B1" w:rsidRDefault="00AC6453" w:rsidP="00AC645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AC33B1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53" w:rsidRPr="00AC33B1" w:rsidRDefault="00AC6453" w:rsidP="00AC645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53" w:rsidRPr="00AC33B1" w:rsidRDefault="00AC6453" w:rsidP="00AC6453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49.209.428.695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53" w:rsidRPr="00AC33B1" w:rsidRDefault="003309E9" w:rsidP="00AC6453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$ </w:t>
            </w:r>
            <w:r w:rsidR="00AC645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74.212.001.010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53" w:rsidRPr="004E420E" w:rsidRDefault="00B86BA7" w:rsidP="00AC645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50.81</w:t>
            </w:r>
            <w:r w:rsidR="00AC6453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53" w:rsidRPr="00AC33B1" w:rsidRDefault="00AC6453" w:rsidP="00AC6453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C6453" w:rsidRPr="00AC33B1" w:rsidTr="00F3587B">
        <w:trPr>
          <w:trHeight w:val="69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53" w:rsidRPr="00AC33B1" w:rsidRDefault="00AC6453" w:rsidP="00AC645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AC33B1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53" w:rsidRPr="00AC33B1" w:rsidRDefault="00AC6453" w:rsidP="00AC645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SERVICIOS PERSONALES INDIRECTOS -FRV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53" w:rsidRPr="00AC33B1" w:rsidRDefault="006F57F2" w:rsidP="00AC6453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$ </w:t>
            </w:r>
            <w:r w:rsidR="00AC6453" w:rsidRPr="00AC33B1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5.147.697.173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53" w:rsidRPr="00AC33B1" w:rsidRDefault="006F57F2" w:rsidP="00AC6453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$ </w:t>
            </w:r>
            <w:r w:rsidR="00DA26DC" w:rsidRPr="00DA26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  <w:r w:rsidR="00DA26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792</w:t>
            </w:r>
            <w:r w:rsidR="00DA26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565</w:t>
            </w:r>
            <w:r w:rsidR="00DA26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53" w:rsidRPr="004E420E" w:rsidRDefault="00B83887" w:rsidP="00605A72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12.5</w:t>
            </w:r>
            <w:r w:rsidR="009666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  <w:r w:rsidR="00AC6453" w:rsidRPr="004E420E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53" w:rsidRPr="00AC33B1" w:rsidRDefault="00AC6453" w:rsidP="00AC6453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285512" w:rsidRPr="00AC33B1" w:rsidTr="00F3587B">
        <w:trPr>
          <w:trHeight w:val="6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12" w:rsidRPr="00AC33B1" w:rsidRDefault="00285512" w:rsidP="0028551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AC33B1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12" w:rsidRPr="00AC33B1" w:rsidRDefault="00285512" w:rsidP="00285512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AC33B1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12" w:rsidRPr="003D3CE6" w:rsidRDefault="00285512" w:rsidP="00F3587B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D3CE6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54.357.125.868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12" w:rsidRPr="003D3CE6" w:rsidRDefault="003309E9" w:rsidP="00F3587B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 xml:space="preserve">$ </w:t>
            </w:r>
            <w:r w:rsidR="00DA26DC" w:rsidRPr="00DA26DC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80</w:t>
            </w:r>
            <w:r w:rsidR="00DA26DC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004</w:t>
            </w:r>
            <w:r w:rsidR="00DA26DC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566</w:t>
            </w:r>
            <w:r w:rsidR="00DA26DC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.</w:t>
            </w:r>
            <w:r w:rsidR="00DA26DC" w:rsidRPr="00DA26DC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12" w:rsidRPr="003D3CE6" w:rsidRDefault="00605A72" w:rsidP="00F3587B">
            <w:pPr>
              <w:spacing w:after="0"/>
              <w:jc w:val="center"/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47.18</w:t>
            </w:r>
            <w:r w:rsidR="00285512" w:rsidRPr="003D3CE6">
              <w:rPr>
                <w:rFonts w:ascii="Century Gothic" w:eastAsia="Times New Roman" w:hAnsi="Century Gothic"/>
                <w:b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5512" w:rsidRPr="00AC33B1" w:rsidRDefault="00285512" w:rsidP="00285512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436721" w:rsidRDefault="00436721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E5585" w:rsidRDefault="004E5585" w:rsidP="00436721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  <w:lang w:val="es-ES_tradnl" w:eastAsia="en-US"/>
        </w:rPr>
      </w:pPr>
    </w:p>
    <w:p w:rsidR="00436721" w:rsidRDefault="00436721" w:rsidP="00436721">
      <w:pPr>
        <w:pStyle w:val="Default"/>
        <w:jc w:val="both"/>
        <w:rPr>
          <w:rFonts w:ascii="Century Gothic" w:eastAsia="Times New Roman" w:hAnsi="Century Gothic"/>
          <w:color w:val="auto"/>
          <w:sz w:val="20"/>
          <w:szCs w:val="20"/>
          <w:lang w:val="es-ES_tradnl"/>
        </w:rPr>
      </w:pPr>
    </w:p>
    <w:p w:rsidR="00436721" w:rsidRPr="00FC23F7" w:rsidRDefault="00436721" w:rsidP="00436721">
      <w:pPr>
        <w:pStyle w:val="Prrafodelista"/>
        <w:numPr>
          <w:ilvl w:val="2"/>
          <w:numId w:val="4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C23F7">
        <w:rPr>
          <w:rFonts w:ascii="Century Gothic" w:hAnsi="Century Gothic"/>
          <w:b/>
          <w:sz w:val="20"/>
          <w:szCs w:val="20"/>
        </w:rPr>
        <w:t>Relación personal de planta vs personal contratado</w:t>
      </w:r>
    </w:p>
    <w:p w:rsidR="00436721" w:rsidRDefault="00436721" w:rsidP="00436721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92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1974"/>
        <w:gridCol w:w="993"/>
        <w:gridCol w:w="1134"/>
        <w:gridCol w:w="992"/>
        <w:gridCol w:w="1134"/>
        <w:gridCol w:w="1417"/>
        <w:gridCol w:w="1987"/>
      </w:tblGrid>
      <w:tr w:rsidR="00D47795" w:rsidRPr="00D47795" w:rsidTr="00D47795">
        <w:trPr>
          <w:trHeight w:val="540"/>
        </w:trPr>
        <w:tc>
          <w:tcPr>
            <w:tcW w:w="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76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D47795" w:rsidRPr="00D47795" w:rsidTr="00D47795">
        <w:trPr>
          <w:trHeight w:val="1362"/>
        </w:trPr>
        <w:tc>
          <w:tcPr>
            <w:tcW w:w="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95" w:rsidRPr="00D47795" w:rsidRDefault="00D47795" w:rsidP="00D47795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28551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de la cantidad del personal entre enero - diciembre de la vigencia 201</w:t>
            </w:r>
            <w:r w:rsidR="0015095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enero - diciembre de la vigencia 201</w:t>
            </w:r>
            <w:r w:rsidR="0028551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de la cantidad del personal entre enero - diciembre de la vigencia 201</w:t>
            </w:r>
            <w:r w:rsidR="0028551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Variación de la cantidad entre enero - diciembre de 2017 respecto al mismo periodo de la vigencia 201</w:t>
            </w:r>
            <w:r w:rsidR="0028551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795" w:rsidRDefault="00D47795" w:rsidP="00D47795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evidencia que la cantidad de contratistas es superior al personal de planta con una participación para la vigencia 201</w:t>
            </w:r>
            <w:r w:rsidR="00356D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</w:t>
            </w:r>
            <w:r w:rsidR="00356D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1.</w:t>
            </w:r>
            <w:r w:rsidR="00884BA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559</w:t>
            </w:r>
            <w:r w:rsidR="00B079C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       </w:t>
            </w:r>
            <w:proofErr w:type="gramStart"/>
            <w:r w:rsidR="00B079C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  </w:t>
            </w:r>
            <w:r w:rsidR="00356D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(</w:t>
            </w:r>
            <w:proofErr w:type="gramEnd"/>
            <w:r w:rsidR="00884BA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66.15</w:t>
            </w: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="00356D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)</w:t>
            </w: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356D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con una disminución del </w:t>
            </w:r>
            <w:r w:rsidR="00884BA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7.3</w:t>
            </w:r>
            <w:r w:rsidR="0017278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 w:rsidR="00356D7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 con respecto a la vigencia de 2017</w:t>
            </w: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:rsidR="001276AD" w:rsidRDefault="00D47795" w:rsidP="001276AD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br/>
            </w:r>
            <w:r w:rsidR="00B079C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E</w:t>
            </w:r>
            <w:r w:rsidR="001276A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l </w:t>
            </w:r>
            <w:r w:rsidR="001276AD"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personal de planta con una participación para la vigencia 201</w:t>
            </w:r>
            <w:r w:rsidR="001276A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 w:rsidR="001276AD"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</w:t>
            </w:r>
            <w:r w:rsidR="001276A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785(</w:t>
            </w:r>
            <w:r w:rsidR="00884BA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33.49</w:t>
            </w:r>
            <w:r w:rsidR="001276AD"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  <w:r w:rsidR="001276A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)</w:t>
            </w:r>
            <w:r w:rsidR="00B079CA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presenta </w:t>
            </w:r>
            <w:r w:rsidR="001276A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una disminución del 2.7</w:t>
            </w:r>
            <w:r w:rsidR="0017278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  <w:r w:rsidR="001276A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 con respecto a la vigencia de 2017</w:t>
            </w:r>
            <w:r w:rsidR="001276AD"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:rsidR="00D47795" w:rsidRPr="00D47795" w:rsidRDefault="00D47795" w:rsidP="00D47795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D47795" w:rsidRPr="00D47795" w:rsidTr="00F41F1C">
        <w:trPr>
          <w:trHeight w:val="404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 de personal contratado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285512" w:rsidP="00F41F1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D47795" w:rsidP="00F41F1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</w:t>
            </w:r>
            <w:r w:rsidR="0028551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DA26DC" w:rsidP="00F41F1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1.55</w:t>
            </w:r>
            <w:r w:rsidR="00F41F1C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E46E75" w:rsidP="00F41F1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66.51</w:t>
            </w:r>
            <w:r w:rsidR="00D47795"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BC1FF1" w:rsidP="00F41F1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</w:t>
            </w:r>
            <w:r w:rsidR="00E46E7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7.3</w:t>
            </w:r>
            <w:r w:rsidR="0017278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</w:t>
            </w:r>
            <w:r w:rsidR="00D47795"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795" w:rsidRPr="00D47795" w:rsidRDefault="00D47795" w:rsidP="00D47795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D47795" w:rsidRPr="00D47795" w:rsidTr="00F41F1C">
        <w:trPr>
          <w:trHeight w:val="568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Total 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de </w:t>
            </w: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personal vinculado de planta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285512" w:rsidP="00F41F1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D47795" w:rsidP="00F41F1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  <w:r w:rsidR="0028551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  <w:r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150953" w:rsidP="00F41F1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E46E75" w:rsidP="00F41F1C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33.49</w:t>
            </w:r>
            <w:r w:rsidR="00D47795" w:rsidRPr="00D47795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BC1FF1" w:rsidP="00F41F1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-2.</w:t>
            </w:r>
            <w:r w:rsidR="00E46E7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  <w:r w:rsidR="0017278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</w:t>
            </w:r>
            <w:r w:rsidR="00D47795"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795" w:rsidRPr="00D47795" w:rsidRDefault="00D47795" w:rsidP="00D47795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D47795" w:rsidRPr="00D47795" w:rsidTr="00F41F1C">
        <w:trPr>
          <w:trHeight w:val="3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D47795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 Servidores Públicos de la UARIV (Planta + Contratistas)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285512" w:rsidP="00F41F1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2.489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D47795" w:rsidP="00F41F1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BC1FF1" w:rsidP="00F41F1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2.</w:t>
            </w:r>
            <w:r w:rsidR="00E46E7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795" w:rsidRPr="00D47795" w:rsidRDefault="00D47795" w:rsidP="00F41F1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95" w:rsidRPr="00D47795" w:rsidRDefault="00D47795" w:rsidP="00F41F1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47795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N/A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795" w:rsidRPr="00D47795" w:rsidRDefault="00D47795" w:rsidP="00D47795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436721" w:rsidRDefault="00436721" w:rsidP="00436721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436721" w:rsidRPr="00F577A0" w:rsidRDefault="00436721" w:rsidP="00436721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:rsidR="00436721" w:rsidRPr="00F577A0" w:rsidRDefault="00436721" w:rsidP="00436721">
      <w:pPr>
        <w:pStyle w:val="Prrafodelista"/>
        <w:numPr>
          <w:ilvl w:val="1"/>
          <w:numId w:val="4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577A0">
        <w:rPr>
          <w:rFonts w:ascii="Century Gothic" w:hAnsi="Century Gothic"/>
          <w:b/>
          <w:sz w:val="20"/>
          <w:szCs w:val="20"/>
        </w:rPr>
        <w:t>Otros temas relacionados con personal.</w:t>
      </w:r>
    </w:p>
    <w:p w:rsidR="00436721" w:rsidRPr="00633A77" w:rsidRDefault="00436721" w:rsidP="00436721">
      <w:pPr>
        <w:jc w:val="both"/>
        <w:rPr>
          <w:rFonts w:ascii="Century Gothic" w:hAnsi="Century Gothic"/>
          <w:sz w:val="2"/>
          <w:szCs w:val="20"/>
        </w:rPr>
      </w:pPr>
    </w:p>
    <w:p w:rsidR="00436721" w:rsidRPr="00730AA2" w:rsidRDefault="00436721" w:rsidP="00436721">
      <w:pPr>
        <w:pStyle w:val="Ttulo2"/>
        <w:spacing w:before="200"/>
        <w:jc w:val="both"/>
        <w:rPr>
          <w:rFonts w:ascii="Century Gothic" w:hAnsi="Century Gothic" w:cs="Arial"/>
          <w:b w:val="0"/>
          <w:color w:val="auto"/>
          <w:szCs w:val="20"/>
          <w:lang w:eastAsia="es-CO"/>
        </w:rPr>
      </w:pPr>
      <w:r w:rsidRPr="00730AA2">
        <w:rPr>
          <w:rFonts w:ascii="Century Gothic" w:hAnsi="Century Gothic" w:cs="Arial"/>
          <w:b w:val="0"/>
          <w:color w:val="auto"/>
          <w:szCs w:val="20"/>
          <w:lang w:eastAsia="es-CO"/>
        </w:rPr>
        <w:t xml:space="preserve">Los temas relacionados en la norma como son la certificación de no existencia de personal, vinculación y desvinculación de personal, remuneración servicios técnicos, </w:t>
      </w:r>
      <w:r w:rsidRPr="00730AA2">
        <w:rPr>
          <w:rFonts w:ascii="Century Gothic" w:hAnsi="Century Gothic" w:cs="Arial"/>
          <w:b w:val="0"/>
          <w:color w:val="auto"/>
          <w:szCs w:val="20"/>
          <w:lang w:val="es-MX" w:eastAsia="es-MX"/>
        </w:rPr>
        <w:t xml:space="preserve">supernumerarios, </w:t>
      </w:r>
      <w:r w:rsidRPr="00730AA2">
        <w:rPr>
          <w:rFonts w:ascii="Century Gothic" w:hAnsi="Century Gothic" w:cs="Arial"/>
          <w:b w:val="0"/>
          <w:color w:val="auto"/>
          <w:szCs w:val="20"/>
          <w:lang w:eastAsia="es-CO"/>
        </w:rPr>
        <w:t>horas extras y comisiones son temas que se relacionan en la siguiente tabla en donde el Grupo de Gestión de Talento Humano y Contractual manifiesta que se cumple con la normatividad.</w:t>
      </w:r>
    </w:p>
    <w:p w:rsidR="00436721" w:rsidRDefault="00436721" w:rsidP="00436721">
      <w:pPr>
        <w:rPr>
          <w:rFonts w:ascii="Century Gothic" w:hAnsi="Century Gothic"/>
          <w:sz w:val="20"/>
          <w:szCs w:val="20"/>
          <w:lang w:eastAsia="es-CO"/>
        </w:rPr>
      </w:pPr>
    </w:p>
    <w:p w:rsidR="00436721" w:rsidRDefault="00436721" w:rsidP="00436721">
      <w:pPr>
        <w:pStyle w:val="Prrafodelista"/>
        <w:numPr>
          <w:ilvl w:val="2"/>
          <w:numId w:val="4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577A0">
        <w:rPr>
          <w:rFonts w:ascii="Century Gothic" w:hAnsi="Century Gothic"/>
          <w:b/>
          <w:sz w:val="20"/>
          <w:szCs w:val="20"/>
        </w:rPr>
        <w:t>Talento Humano.</w:t>
      </w:r>
    </w:p>
    <w:p w:rsidR="0012728C" w:rsidRPr="00F577A0" w:rsidRDefault="0012728C" w:rsidP="0012728C">
      <w:pPr>
        <w:pStyle w:val="Prrafodelista"/>
        <w:spacing w:after="0"/>
        <w:ind w:left="1080"/>
        <w:jc w:val="both"/>
        <w:rPr>
          <w:rFonts w:ascii="Century Gothic" w:hAnsi="Century Gothic"/>
          <w:b/>
          <w:sz w:val="20"/>
          <w:szCs w:val="20"/>
        </w:rPr>
      </w:pPr>
    </w:p>
    <w:p w:rsidR="00436721" w:rsidRDefault="00436721" w:rsidP="00436721">
      <w:pPr>
        <w:rPr>
          <w:rFonts w:ascii="Century Gothic" w:hAnsi="Century Gothic"/>
          <w:sz w:val="20"/>
          <w:szCs w:val="20"/>
          <w:lang w:eastAsia="es-CO"/>
        </w:rPr>
      </w:pPr>
      <w:r w:rsidRPr="00F577A0">
        <w:rPr>
          <w:rFonts w:ascii="Century Gothic" w:hAnsi="Century Gothic"/>
          <w:noProof/>
          <w:sz w:val="20"/>
          <w:szCs w:val="20"/>
          <w:lang w:val="es-ES" w:eastAsia="es-ES"/>
        </w:rPr>
        <w:drawing>
          <wp:inline distT="0" distB="0" distL="0" distR="0" wp14:anchorId="2316ACEA" wp14:editId="37F44714">
            <wp:extent cx="5943600" cy="2226643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10" cy="222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21" w:rsidRDefault="00436721" w:rsidP="00436721">
      <w:pPr>
        <w:rPr>
          <w:rFonts w:ascii="Century Gothic" w:hAnsi="Century Gothic"/>
          <w:sz w:val="20"/>
          <w:szCs w:val="20"/>
          <w:lang w:eastAsia="es-CO"/>
        </w:rPr>
      </w:pPr>
    </w:p>
    <w:p w:rsidR="00436721" w:rsidRPr="00AE1D7B" w:rsidRDefault="00436721" w:rsidP="00436721">
      <w:pPr>
        <w:pStyle w:val="Prrafodelista"/>
        <w:numPr>
          <w:ilvl w:val="2"/>
          <w:numId w:val="4"/>
        </w:numPr>
        <w:rPr>
          <w:rFonts w:ascii="Century Gothic" w:hAnsi="Century Gothic"/>
          <w:b/>
          <w:sz w:val="20"/>
          <w:szCs w:val="20"/>
          <w:lang w:eastAsia="es-CO"/>
        </w:rPr>
      </w:pPr>
      <w:r w:rsidRPr="000F4E92">
        <w:rPr>
          <w:rFonts w:ascii="Century Gothic" w:hAnsi="Century Gothic"/>
          <w:b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31579B57" wp14:editId="08EF209E">
            <wp:simplePos x="0" y="0"/>
            <wp:positionH relativeFrom="column">
              <wp:posOffset>-195580</wp:posOffset>
            </wp:positionH>
            <wp:positionV relativeFrom="paragraph">
              <wp:posOffset>283845</wp:posOffset>
            </wp:positionV>
            <wp:extent cx="6483350" cy="20770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0"/>
          <w:szCs w:val="20"/>
          <w:lang w:eastAsia="es-CO"/>
        </w:rPr>
        <w:t>Contratos</w:t>
      </w:r>
    </w:p>
    <w:p w:rsidR="00873396" w:rsidRPr="00633A77" w:rsidRDefault="00873396" w:rsidP="00436721">
      <w:pPr>
        <w:rPr>
          <w:rFonts w:ascii="Century Gothic" w:hAnsi="Century Gothic"/>
          <w:b/>
          <w:sz w:val="4"/>
          <w:szCs w:val="20"/>
          <w:lang w:val="es-CO" w:eastAsia="es-CO"/>
        </w:rPr>
      </w:pPr>
    </w:p>
    <w:p w:rsidR="00436721" w:rsidRPr="00F577A0" w:rsidRDefault="00436721" w:rsidP="00436721">
      <w:pPr>
        <w:pStyle w:val="Prrafodelista"/>
        <w:numPr>
          <w:ilvl w:val="1"/>
          <w:numId w:val="4"/>
        </w:numPr>
        <w:rPr>
          <w:rFonts w:ascii="Century Gothic" w:hAnsi="Century Gothic"/>
          <w:b/>
          <w:sz w:val="20"/>
          <w:szCs w:val="20"/>
          <w:lang w:eastAsia="es-CO"/>
        </w:rPr>
      </w:pPr>
      <w:r>
        <w:rPr>
          <w:rFonts w:ascii="Century Gothic" w:hAnsi="Century Gothic"/>
          <w:b/>
          <w:sz w:val="20"/>
          <w:szCs w:val="20"/>
          <w:lang w:eastAsia="es-CO"/>
        </w:rPr>
        <w:t xml:space="preserve"> </w:t>
      </w:r>
      <w:r w:rsidRPr="00F577A0">
        <w:rPr>
          <w:rFonts w:ascii="Century Gothic" w:hAnsi="Century Gothic"/>
          <w:b/>
          <w:sz w:val="20"/>
          <w:szCs w:val="20"/>
          <w:lang w:eastAsia="es-CO"/>
        </w:rPr>
        <w:t xml:space="preserve">Tiquetes </w:t>
      </w:r>
      <w:r w:rsidRPr="004C2439">
        <w:rPr>
          <w:rFonts w:ascii="Century Gothic" w:hAnsi="Century Gothic"/>
          <w:b/>
          <w:sz w:val="20"/>
          <w:szCs w:val="20"/>
          <w:lang w:eastAsia="es-CO"/>
        </w:rPr>
        <w:t>comisiones al exterior</w:t>
      </w:r>
      <w:r w:rsidRPr="00F577A0">
        <w:rPr>
          <w:rFonts w:ascii="Century Gothic" w:hAnsi="Century Gothic"/>
          <w:b/>
          <w:sz w:val="20"/>
          <w:szCs w:val="20"/>
          <w:lang w:eastAsia="es-CO"/>
        </w:rPr>
        <w:t xml:space="preserve">. </w:t>
      </w:r>
    </w:p>
    <w:p w:rsidR="00436721" w:rsidRDefault="00436721" w:rsidP="00436721">
      <w:pPr>
        <w:jc w:val="both"/>
        <w:rPr>
          <w:rFonts w:ascii="Century Gothic" w:hAnsi="Century Gothic"/>
          <w:sz w:val="20"/>
          <w:szCs w:val="20"/>
          <w:lang w:val="es-MX" w:eastAsia="es-MX"/>
        </w:rPr>
      </w:pPr>
      <w:r w:rsidRPr="00F577A0">
        <w:rPr>
          <w:rFonts w:ascii="Century Gothic" w:hAnsi="Century Gothic"/>
          <w:sz w:val="20"/>
          <w:szCs w:val="20"/>
          <w:lang w:val="es-MX" w:eastAsia="es-MX"/>
        </w:rPr>
        <w:t xml:space="preserve">En el siguiente cuadro se relaciona los tiquetes para el exterior dando cumplimiento al Art. 1 del Decreto 2890 de 2005; </w:t>
      </w:r>
      <w:r w:rsidRPr="00F577A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a los comisionados al exterior se les podrá suministrar pasajes aéreos, marítimos o terrestres solo en clase económica.</w:t>
      </w:r>
      <w:r w:rsidRPr="00F577A0">
        <w:rPr>
          <w:rFonts w:ascii="Century Gothic" w:hAnsi="Century Gothic"/>
          <w:sz w:val="20"/>
          <w:szCs w:val="20"/>
          <w:lang w:val="es-MX" w:eastAsia="es-MX"/>
        </w:rPr>
        <w:t xml:space="preserve"> </w:t>
      </w: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960"/>
        <w:gridCol w:w="1134"/>
        <w:gridCol w:w="1276"/>
        <w:gridCol w:w="1417"/>
        <w:gridCol w:w="1134"/>
        <w:gridCol w:w="1987"/>
      </w:tblGrid>
      <w:tr w:rsidR="00436721" w:rsidRPr="00696BEA" w:rsidTr="0089532B">
        <w:trPr>
          <w:trHeight w:val="555"/>
        </w:trPr>
        <w:tc>
          <w:tcPr>
            <w:tcW w:w="99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721" w:rsidRPr="00696BEA" w:rsidRDefault="00436721" w:rsidP="005A370C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En el cumplimiento del Art. 1 del Decreto 2890 de 2005 - TIQUETES EN EL EXTERIOR del 01 octubre - 31 diciembre del 201</w:t>
            </w:r>
            <w:r w:rsidR="0012728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8717E4" w:rsidRPr="00696BEA" w:rsidTr="009126BB">
        <w:trPr>
          <w:trHeight w:val="55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FECHA DE EMISIÓN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NOMBRE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Nº</w:t>
            </w:r>
            <w:proofErr w:type="spellEnd"/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DE TIQUETE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CLASE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RUTA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VALOR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8717E4" w:rsidRPr="00696BEA" w:rsidTr="009126BB">
        <w:trPr>
          <w:trHeight w:val="2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370C4D" w:rsidP="006C2938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03/05/2018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6C2938" w:rsidP="005A370C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PINTO A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YOLANDA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21" w:rsidRPr="006C2938" w:rsidRDefault="006C2938" w:rsidP="006C2938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C293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2649805653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6C2938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21" w:rsidRPr="006C2938" w:rsidRDefault="006C2938" w:rsidP="006C2938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C293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MADGVAMAD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21" w:rsidRPr="00696BEA" w:rsidRDefault="00436721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</w:t>
            </w:r>
            <w:r w:rsidR="006C293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634.139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26BB" w:rsidRDefault="0092650E" w:rsidP="00837044">
            <w:pPr>
              <w:spacing w:after="0"/>
              <w:jc w:val="both"/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Se evidencia </w:t>
            </w:r>
            <w:r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para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el </w:t>
            </w:r>
            <w:r w:rsidR="00690092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periodo analizado</w:t>
            </w:r>
            <w:r w:rsidR="0043023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690092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del </w:t>
            </w:r>
            <w:r w:rsidR="0043023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año 2018 </w:t>
            </w:r>
            <w:r w:rsidR="00690092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un </w:t>
            </w:r>
            <w:r w:rsidR="00690092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incremento</w:t>
            </w:r>
            <w:r w:rsidR="00430234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 xml:space="preserve"> del 773.14</w:t>
            </w:r>
            <w:r w:rsidR="009126BB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% por</w:t>
            </w:r>
            <w:r w:rsidR="00430234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valor de </w:t>
            </w:r>
            <w:r w:rsidR="00690092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por la compra de 21 tiquetes para la participación de los directores y/o asesores o invitados a participar en eventos en Ginebra, Hong Kong, Barcelona, New York y Colorado</w:t>
            </w:r>
            <w:r w:rsidR="009126BB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 xml:space="preserve">. </w:t>
            </w:r>
          </w:p>
          <w:p w:rsidR="0089532B" w:rsidRPr="00696BEA" w:rsidRDefault="009126BB" w:rsidP="00837044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C</w:t>
            </w:r>
            <w:r w:rsidR="0092650E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on respecto al periodo de la vigenci</w:t>
            </w:r>
            <w:r w:rsidR="00430234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a</w:t>
            </w:r>
            <w:r w:rsidR="0092650E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 xml:space="preserve"> anterio</w:t>
            </w:r>
            <w:r w:rsidR="00430234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r</w:t>
            </w:r>
            <w:r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 xml:space="preserve"> el </w:t>
            </w:r>
            <w:r w:rsidR="00430234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valor</w:t>
            </w:r>
            <w:r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 xml:space="preserve"> de</w:t>
            </w:r>
            <w:r w:rsidR="00430234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 xml:space="preserve">tiquetes reportados fue </w:t>
            </w:r>
            <w:r w:rsidR="00430234">
              <w:rPr>
                <w:rFonts w:ascii="Century Gothic" w:eastAsia="Times New Roman" w:hAnsi="Century Gothic"/>
                <w:bCs/>
                <w:color w:val="000000"/>
                <w:sz w:val="16"/>
                <w:szCs w:val="16"/>
                <w:lang w:val="es-CO" w:eastAsia="es-CO"/>
              </w:rPr>
              <w:t>de</w:t>
            </w:r>
            <w:r w:rsidR="0092650E"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$ 7´135.751</w:t>
            </w:r>
            <w:r w:rsidR="003E104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690092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correspondiente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a </w:t>
            </w:r>
            <w:r w:rsidR="00690092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</w:t>
            </w:r>
            <w:r w:rsidR="0092650E"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8" w:rsidRDefault="006C2938" w:rsidP="006C2938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03/05/2018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8" w:rsidRDefault="006C2938" w:rsidP="006C2938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FERRO B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CLAUDIA V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8" w:rsidRPr="006C2938" w:rsidRDefault="006C2938" w:rsidP="006C2938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C293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2649805654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8" w:rsidRPr="00696BEA" w:rsidRDefault="006C2938" w:rsidP="006C2938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8" w:rsidRPr="006C2938" w:rsidRDefault="006C2938" w:rsidP="006C2938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C293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MADGVAMAD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8" w:rsidRPr="00696BEA" w:rsidRDefault="006C2938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634.139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2938" w:rsidRPr="00696BEA" w:rsidRDefault="006C2938" w:rsidP="006C2938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03/05/2018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PINTO A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YOLANDA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C293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264980565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2938">
              <w:rPr>
                <w:rFonts w:ascii="Century Gothic" w:hAnsi="Century Gothic"/>
                <w:color w:val="000000"/>
                <w:sz w:val="16"/>
                <w:szCs w:val="16"/>
              </w:rPr>
              <w:t>BOGMADBOG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$5.508.536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03/05/2018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FERRO B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CLAUDIA V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C293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264980565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BA16C4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2938">
              <w:rPr>
                <w:rFonts w:ascii="Century Gothic" w:hAnsi="Century Gothic"/>
                <w:color w:val="000000"/>
                <w:sz w:val="16"/>
                <w:szCs w:val="16"/>
              </w:rPr>
              <w:t>BOGMADBOG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$5.508.536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23/06/2018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BELTRAN B. LUIS MIGUEL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C293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264980565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BA16C4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2938">
              <w:rPr>
                <w:rFonts w:ascii="Century Gothic" w:hAnsi="Century Gothic"/>
                <w:color w:val="000000"/>
                <w:sz w:val="16"/>
                <w:szCs w:val="16"/>
              </w:rPr>
              <w:t>BOGMADBOG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$5.508.536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27/06/2018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PRADA P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GALDYS C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2650360848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LIM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$1.602.600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11/07/2018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RODRIGUEZ M</w:t>
            </w:r>
            <w:r w:rsidR="00837044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HECTOR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2668768344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9532B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MOC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37044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$2.834.212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37044" w:rsidP="0089532B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11/07/2018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37044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MARTINEZ P. ANDRES 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37044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2768768334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37044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37044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MCO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37044" w:rsidP="00837044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$2.834.212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37044" w:rsidP="0089532B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23/07/2018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837044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HERRERA L. DIEGO 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37044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2768896698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37044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837044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EWR YUL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837044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$3.240.057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417D20" w:rsidP="0089532B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23/07/2018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417D20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LOPEZ G. JOHAN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417D20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2768902300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417D20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417D20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EWR YUL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417D20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$3.773.348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Default="00417D20" w:rsidP="0089532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27/07/2018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417D20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LAVERDE M. ZULLY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417D20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2768934612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417D20" w:rsidP="0089532B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C2938" w:rsidRDefault="00417D20" w:rsidP="0089532B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EWR YUL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2B" w:rsidRPr="00696BEA" w:rsidRDefault="00417D20" w:rsidP="0089532B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$3.773.283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32B" w:rsidRPr="00696BEA" w:rsidRDefault="0089532B" w:rsidP="0089532B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20" w:rsidRDefault="00417D20" w:rsidP="00417D20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27/07/2018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20" w:rsidRDefault="00417D20" w:rsidP="00417D20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ROJAS Q. GINNA M,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20" w:rsidRPr="006C2938" w:rsidRDefault="00417D20" w:rsidP="00417D20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2768934614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20" w:rsidRPr="00696BEA" w:rsidRDefault="00417D20" w:rsidP="00BA16C4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20" w:rsidRPr="006C2938" w:rsidRDefault="00417D20" w:rsidP="00417D2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EWR YUL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D20" w:rsidRPr="00696BEA" w:rsidRDefault="00417D20" w:rsidP="00417D20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$3.773.283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7D20" w:rsidRPr="00696BEA" w:rsidRDefault="00417D20" w:rsidP="00417D20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19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20" w:rsidRDefault="00417D20" w:rsidP="008717E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27/09/2018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20" w:rsidRDefault="00417D20" w:rsidP="008717E4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RODRIGUEZ A. RAMON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20" w:rsidRPr="00417D20" w:rsidRDefault="00417D20" w:rsidP="0092650E">
            <w:pPr>
              <w:spacing w:after="0"/>
              <w:rPr>
                <w:rFonts w:ascii="Calibri" w:eastAsia="Times New Roman" w:hAnsi="Calibri"/>
                <w:color w:val="000000"/>
                <w:sz w:val="20"/>
                <w:szCs w:val="20"/>
                <w:lang w:val="es-CO"/>
              </w:rPr>
            </w:pPr>
            <w:r w:rsidRPr="00417D2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3005075364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20" w:rsidRPr="00696BEA" w:rsidRDefault="002B34E3" w:rsidP="0092650E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20" w:rsidRPr="006C2938" w:rsidRDefault="00417D20" w:rsidP="008717E4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2B34E3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</w:t>
            </w:r>
            <w:r w:rsidR="002B34E3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2B34E3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AHCOSIAH</w:t>
            </w:r>
            <w:r w:rsidR="004E558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2B34E3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20" w:rsidRPr="00696BEA" w:rsidRDefault="002B34E3" w:rsidP="008717E4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$4.601.295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17D20" w:rsidRPr="00696BEA" w:rsidRDefault="00417D20" w:rsidP="008717E4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Default="002B34E3" w:rsidP="002B34E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30/09/2018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RODRIGUEZ A. RAMON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417D20" w:rsidRDefault="002B34E3" w:rsidP="002B34E3">
            <w:pPr>
              <w:spacing w:after="0"/>
              <w:rPr>
                <w:rFonts w:ascii="Calibri" w:eastAsia="Times New Roman" w:hAnsi="Calibri"/>
                <w:color w:val="000000"/>
                <w:sz w:val="20"/>
                <w:szCs w:val="20"/>
                <w:lang w:val="es-CO"/>
              </w:rPr>
            </w:pPr>
            <w:r w:rsidRPr="00417D2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305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6487999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C2938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EMD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$982.110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Default="002B34E3" w:rsidP="002B34E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30/09/2018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RODRIGUEZ A. RAMON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417D20" w:rsidRDefault="002B34E3" w:rsidP="002B34E3">
            <w:pPr>
              <w:spacing w:after="0"/>
              <w:rPr>
                <w:rFonts w:ascii="Calibri" w:eastAsia="Times New Roman" w:hAnsi="Calibri"/>
                <w:color w:val="000000"/>
                <w:sz w:val="20"/>
                <w:szCs w:val="20"/>
                <w:lang w:val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3031991541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C2938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2B34E3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BOGI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2B34E3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AHCOSIAHBOG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$126.626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Default="002B34E3" w:rsidP="002B34E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18/10/2018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RODRIGUEZ A. RAMON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C2938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3125988231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C2938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BOGJFK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$1.859.348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Default="002B34E3" w:rsidP="002B34E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18/10/2018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RODRIGUEZ A. RAMON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C2938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3125988231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C2938" w:rsidRDefault="002B34E3" w:rsidP="002B34E3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JFK PTY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$1.263.544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34E3" w:rsidRPr="00696BEA" w:rsidRDefault="002B34E3" w:rsidP="002B34E3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Default="00895095" w:rsidP="00895095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08/11/2018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RODRIGUEZ A. RAMON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C2938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3120202247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BCN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$3.336.256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Default="00895095" w:rsidP="00895095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08/11/2018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LAVERDE M. ZULLY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C2938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3126229126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BOG BCN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$3.192.860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Default="00895095" w:rsidP="0089509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14/11/2018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MARTINEZ P. ANDRES 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C2938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3126247821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C2938" w:rsidRDefault="00895095" w:rsidP="008950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BOG UIO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$1.510.034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23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Default="00895095" w:rsidP="00895095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23/11/2018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MARTIN R. JHON 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C2938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3126381944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BA16C4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ECONOMICA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C2938" w:rsidRDefault="00895095" w:rsidP="008950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BOG UIO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95" w:rsidRPr="00696BEA" w:rsidRDefault="00895095" w:rsidP="00895095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$2.111.807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717E4" w:rsidRPr="00696BEA" w:rsidTr="009126BB">
        <w:trPr>
          <w:trHeight w:val="318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095" w:rsidRPr="00696BEA" w:rsidRDefault="00895095" w:rsidP="00895095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96BE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Total de tiquetes</w:t>
            </w:r>
            <w:r w:rsidR="004E558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95" w:rsidRPr="00696BEA" w:rsidRDefault="004E5585" w:rsidP="00895095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$ </w:t>
            </w:r>
            <w:r w:rsidR="0089509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55.169.673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095" w:rsidRPr="00696BEA" w:rsidRDefault="00895095" w:rsidP="00895095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4A6107" w:rsidRDefault="004A6107" w:rsidP="00873396">
      <w:pPr>
        <w:pStyle w:val="Ttulo1"/>
        <w:spacing w:before="0"/>
        <w:rPr>
          <w:rFonts w:ascii="Century Gothic" w:hAnsi="Century Gothic"/>
          <w:b/>
          <w:color w:val="000000" w:themeColor="text1"/>
          <w:sz w:val="24"/>
          <w:szCs w:val="20"/>
        </w:rPr>
      </w:pPr>
    </w:p>
    <w:p w:rsidR="003D63CA" w:rsidRDefault="003D63CA" w:rsidP="00873396">
      <w:pPr>
        <w:spacing w:after="0"/>
      </w:pPr>
    </w:p>
    <w:p w:rsidR="008D122C" w:rsidRPr="003D63CA" w:rsidRDefault="008D122C" w:rsidP="00873396">
      <w:pPr>
        <w:spacing w:after="0"/>
      </w:pPr>
    </w:p>
    <w:p w:rsidR="00436721" w:rsidRPr="001369DA" w:rsidRDefault="00436721" w:rsidP="003D63CA">
      <w:pPr>
        <w:pStyle w:val="Ttulo1"/>
        <w:numPr>
          <w:ilvl w:val="0"/>
          <w:numId w:val="3"/>
        </w:numPr>
        <w:spacing w:before="0"/>
        <w:rPr>
          <w:rFonts w:ascii="Century Gothic" w:hAnsi="Century Gothic"/>
          <w:b/>
          <w:color w:val="000000" w:themeColor="text1"/>
          <w:sz w:val="24"/>
          <w:szCs w:val="20"/>
        </w:rPr>
      </w:pPr>
      <w:r w:rsidRPr="001369DA">
        <w:rPr>
          <w:rFonts w:ascii="Century Gothic" w:hAnsi="Century Gothic"/>
          <w:b/>
          <w:color w:val="000000" w:themeColor="text1"/>
          <w:sz w:val="24"/>
          <w:szCs w:val="20"/>
        </w:rPr>
        <w:lastRenderedPageBreak/>
        <w:t>PUBLICIDAD Y PUBLICACIONES</w:t>
      </w:r>
    </w:p>
    <w:p w:rsidR="00436721" w:rsidRPr="00633A77" w:rsidRDefault="00436721" w:rsidP="00436721">
      <w:pPr>
        <w:rPr>
          <w:rFonts w:ascii="Century Gothic" w:hAnsi="Century Gothic"/>
          <w:sz w:val="4"/>
          <w:szCs w:val="20"/>
        </w:rPr>
      </w:pPr>
    </w:p>
    <w:p w:rsidR="00436721" w:rsidRDefault="00436721" w:rsidP="00436721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BF17DA">
        <w:rPr>
          <w:rFonts w:ascii="Century Gothic" w:hAnsi="Century Gothic" w:cs="Arial"/>
          <w:sz w:val="20"/>
          <w:szCs w:val="20"/>
          <w:lang w:val="es-CO" w:eastAsia="es-CO"/>
        </w:rPr>
        <w:t>Dando cumplimiento al capítulo III del Decreto de Austeridad (Decreto 1737 de 199</w:t>
      </w:r>
      <w:r>
        <w:rPr>
          <w:rFonts w:ascii="Century Gothic" w:hAnsi="Century Gothic" w:cs="Arial"/>
          <w:sz w:val="20"/>
          <w:szCs w:val="20"/>
          <w:lang w:val="es-CO" w:eastAsia="es-CO"/>
        </w:rPr>
        <w:t>8) y Art. 13 del capítulo IV,</w:t>
      </w:r>
      <w:r w:rsidRPr="00BF17DA">
        <w:rPr>
          <w:rFonts w:ascii="Century Gothic" w:hAnsi="Century Gothic" w:cs="Arial"/>
          <w:sz w:val="20"/>
          <w:szCs w:val="20"/>
          <w:lang w:val="es-CO" w:eastAsia="es-CO"/>
        </w:rPr>
        <w:t xml:space="preserve"> se realizaron pagos en el </w:t>
      </w:r>
      <w:r w:rsidR="00393387">
        <w:rPr>
          <w:rFonts w:ascii="Century Gothic" w:hAnsi="Century Gothic" w:cs="Arial"/>
          <w:sz w:val="20"/>
          <w:szCs w:val="20"/>
          <w:lang w:val="es-CO" w:eastAsia="es-CO"/>
        </w:rPr>
        <w:t>cuarto</w:t>
      </w: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Pr="00BF17DA">
        <w:rPr>
          <w:rFonts w:ascii="Century Gothic" w:hAnsi="Century Gothic" w:cs="Arial"/>
          <w:sz w:val="20"/>
          <w:szCs w:val="20"/>
          <w:lang w:val="es-CO" w:eastAsia="es-CO"/>
        </w:rPr>
        <w:t xml:space="preserve">trimestre </w:t>
      </w: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2017, </w:t>
      </w:r>
      <w:r w:rsidRPr="00BF17DA">
        <w:rPr>
          <w:rFonts w:ascii="Century Gothic" w:hAnsi="Century Gothic" w:cs="Arial"/>
          <w:sz w:val="20"/>
          <w:szCs w:val="20"/>
          <w:lang w:val="es-CO" w:eastAsia="es-CO"/>
        </w:rPr>
        <w:t>como s</w:t>
      </w: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e observa en el siguiente cuadro: </w:t>
      </w:r>
    </w:p>
    <w:p w:rsidR="008D122C" w:rsidRDefault="008D122C" w:rsidP="00873396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948"/>
        <w:gridCol w:w="1276"/>
        <w:gridCol w:w="1134"/>
        <w:gridCol w:w="1134"/>
        <w:gridCol w:w="1276"/>
        <w:gridCol w:w="1417"/>
        <w:gridCol w:w="2412"/>
      </w:tblGrid>
      <w:tr w:rsidR="00393387" w:rsidRPr="00393387" w:rsidTr="00393387">
        <w:trPr>
          <w:trHeight w:val="390"/>
        </w:trPr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42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Nº</w:t>
            </w:r>
            <w:proofErr w:type="spellEnd"/>
          </w:p>
        </w:tc>
        <w:tc>
          <w:tcPr>
            <w:tcW w:w="71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42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Aspectos cuantitativos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142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Situaciones encontradas por la OCI</w:t>
            </w:r>
          </w:p>
        </w:tc>
      </w:tr>
      <w:tr w:rsidR="00393387" w:rsidRPr="00393387" w:rsidTr="00B34ED0">
        <w:trPr>
          <w:trHeight w:val="1380"/>
        </w:trPr>
        <w:tc>
          <w:tcPr>
            <w:tcW w:w="3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42" w:rsidRPr="006A3142" w:rsidRDefault="006A3142" w:rsidP="00873396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42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42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Nombre del rubro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42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Código del rubro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42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Valor pagado </w:t>
            </w:r>
            <w:r w:rsidR="00393387" w:rsidRPr="0039338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entre octubre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diciembre de la vigencia 201</w:t>
            </w:r>
            <w:r w:rsidR="00B014B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42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pagado entre octubre - diciembre de la vigencia 201</w:t>
            </w:r>
            <w:r w:rsidR="00B014B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BD" w:rsidRPr="006A3142" w:rsidRDefault="006A3142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</w:t>
            </w:r>
            <w:r w:rsidR="00393387" w:rsidRPr="0039338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Variación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del valor pagado entre octubre - diciembre de 2017 respecto al mismo periodo de la vigencia 201</w:t>
            </w:r>
            <w:r w:rsidR="00B014B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142" w:rsidRDefault="008C08E2" w:rsidP="0087339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evidencia para el año 2018 disminución en desarrollo 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 actividades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y programas que 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se ejecutaron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a través de un medio masivo de comunicación como es la televisión con Canal Capital, canal institucional de nivel local, pero con transmisión y cubrimiento local e internacional dando cumplimiento a los dispuesto en l</w:t>
            </w:r>
            <w:r w:rsidR="006A3142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a Ley 1448 y la política de comunicaciones que se debe informar, formar y movilizar a todos los actores de la sociedad, especialmente a las víctimas.  Las acciones que se llevaron a cabo tenían como </w:t>
            </w:r>
            <w:r w:rsidR="00393387" w:rsidRPr="0039338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objetivo final</w:t>
            </w:r>
            <w:r w:rsidR="00393387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mostrar</w:t>
            </w:r>
            <w:r w:rsidR="006A3142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la reparación y reconciliación de las víctimas dentro del </w:t>
            </w:r>
            <w:r w:rsidR="00393387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proceso y</w:t>
            </w:r>
            <w:r w:rsidR="006A3142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en el marco de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6A3142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os dos </w:t>
            </w:r>
            <w:r w:rsidR="00FB02F6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primer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os</w:t>
            </w:r>
            <w:r w:rsidR="00FB02F6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años</w:t>
            </w:r>
            <w:r w:rsidR="006A3142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del Acuerdo de Paz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después de su firma</w:t>
            </w:r>
            <w:r w:rsidR="00EF5EB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</w:p>
          <w:p w:rsidR="00EF5EB2" w:rsidRDefault="00EF5EB2" w:rsidP="0087339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EF5EB2" w:rsidRDefault="00EF5EB2" w:rsidP="0087339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EF5EB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Para el año 201</w:t>
            </w:r>
            <w:r w:rsidR="00D854C8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</w:t>
            </w:r>
            <w:r w:rsidRPr="00EF5EB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, 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se desarrollaron programas que se ejecutaron como se identifican en la columna </w:t>
            </w:r>
            <w:r w:rsidR="004A61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nombre </w:t>
            </w:r>
            <w:r w:rsidR="00FB02F6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del rubro</w:t>
            </w:r>
            <w:r w:rsidR="004A61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, a los que se les asigno recursos para ser ejecutados en cada uno de los valores que se detallan.</w:t>
            </w:r>
          </w:p>
          <w:p w:rsidR="004A6107" w:rsidRDefault="004A6107" w:rsidP="0087339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4A6107" w:rsidRDefault="004A6107" w:rsidP="0087339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La disminución de asignación de recursos en $</w:t>
            </w:r>
            <w:r w:rsidRPr="004A61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4A61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432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Pr="004A61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437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.</w:t>
            </w:r>
            <w:r w:rsidR="0016536F" w:rsidRPr="004A6107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245</w:t>
            </w:r>
            <w:r w:rsidR="0016536F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corresponde</w:t>
            </w: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al 58.65% con respecto a los ejecutado en el año 2017 </w:t>
            </w:r>
          </w:p>
          <w:p w:rsidR="00EF5EB2" w:rsidRPr="006A3142" w:rsidRDefault="00EF5EB2" w:rsidP="0087339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014BD" w:rsidRPr="00393387" w:rsidTr="0092650E">
        <w:trPr>
          <w:trHeight w:val="51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BD" w:rsidRPr="006A3142" w:rsidRDefault="00B014BD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BD" w:rsidRPr="006A3142" w:rsidRDefault="00B014BD" w:rsidP="00873396">
            <w:pPr>
              <w:spacing w:after="0"/>
              <w:jc w:val="both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Imprenta Nacional de Colombia Contrato </w:t>
            </w:r>
            <w:r w:rsidRPr="0039338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Interadministrativo 1346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BD" w:rsidRPr="006A3142" w:rsidRDefault="00B014BD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Contribución </w:t>
            </w:r>
            <w:r w:rsidRPr="0039338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Áreas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Apoyo (APD)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BD" w:rsidRPr="006A3142" w:rsidRDefault="00B014BD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C-4101-1500-5-0-5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4BD" w:rsidRPr="006A3142" w:rsidRDefault="00B014BD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442.863.869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BD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$ 0</w:t>
            </w:r>
            <w:r w:rsidR="00B014BD"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BD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-100%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BD" w:rsidRPr="006A3142" w:rsidRDefault="00B014BD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34ED0" w:rsidRPr="00393387" w:rsidTr="0092650E">
        <w:trPr>
          <w:trHeight w:val="67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Contribución </w:t>
            </w:r>
            <w:r w:rsidRPr="0039338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Áreas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Apoyo (APD)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C-4101-1500-1-0-5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1.991.767.382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$ 0</w:t>
            </w: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-100%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34ED0" w:rsidRPr="00393387" w:rsidTr="0092650E">
        <w:trPr>
          <w:trHeight w:val="51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Contribución </w:t>
            </w:r>
            <w:r w:rsidRPr="0039338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Áreas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Apoyo (APVND)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C-4101-1500-2-0-6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159.793.174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$ 0</w:t>
            </w: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-100%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34ED0" w:rsidRPr="00393387" w:rsidTr="0092650E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Contribución </w:t>
            </w:r>
            <w:r w:rsidRPr="0039338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Áreas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Apoyo (APD)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C-4101-1500-2-0-5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838.914.163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$ 0</w:t>
            </w: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-100%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34ED0" w:rsidRPr="00393387" w:rsidTr="0092650E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Contribución Áreas de Apoyo (APVND)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A-3-6-3-12-6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31.192.969,74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$ 0</w:t>
            </w: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-100%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34ED0" w:rsidRPr="00393387" w:rsidTr="0092650E">
        <w:trPr>
          <w:trHeight w:val="723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C3" w:rsidRDefault="00DF0BFA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</w:t>
            </w:r>
            <w:r w:rsidR="00B159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018</w:t>
            </w:r>
            <w:r w:rsidR="004D03C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</w:t>
            </w:r>
          </w:p>
          <w:p w:rsidR="00B159B7" w:rsidRPr="006A3142" w:rsidRDefault="004D03C3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Canal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B014BD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B014B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Documentos de lineamientos técnicos - Gestión de apoyo</w:t>
            </w:r>
          </w:p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C-4101-1500-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16-0-32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$ 0</w:t>
            </w: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0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  <w:p w:rsidR="00B34ED0" w:rsidRPr="00B014BD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B014BD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$ 1.081.083.631</w:t>
            </w:r>
          </w:p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100%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34ED0" w:rsidRPr="00393387" w:rsidTr="0092650E">
        <w:trPr>
          <w:trHeight w:val="51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B014B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Servicio de ayuda y atención humanitaria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C-4101-1500-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17-0-32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$ 0</w:t>
            </w: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 xml:space="preserve"> $ 942.483.165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100%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34ED0" w:rsidRPr="00393387" w:rsidTr="0092650E">
        <w:trPr>
          <w:trHeight w:val="51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12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ED0" w:rsidRPr="00B014BD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B014B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Estrategias complementarias desarrolladas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C-4101-1500-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-0-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$ 0</w:t>
            </w:r>
            <w:r w:rsidRPr="006A3142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$ 8.52.517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100%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34ED0" w:rsidRPr="00393387" w:rsidTr="004A6107">
        <w:trPr>
          <w:trHeight w:val="568"/>
        </w:trPr>
        <w:tc>
          <w:tcPr>
            <w:tcW w:w="36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3.464.531.558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2.032.094.313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-</w:t>
            </w:r>
            <w:r w:rsidR="0092650E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58.65</w:t>
            </w:r>
            <w:r w:rsidRPr="006A3142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24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D0" w:rsidRPr="006A3142" w:rsidRDefault="00B34ED0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:rsidR="00873396" w:rsidRDefault="00873396" w:rsidP="00873396">
      <w:pPr>
        <w:pStyle w:val="Ttulo1"/>
        <w:spacing w:before="0"/>
        <w:rPr>
          <w:rFonts w:ascii="Century Gothic" w:hAnsi="Century Gothic"/>
          <w:b/>
          <w:color w:val="auto"/>
          <w:sz w:val="22"/>
          <w:szCs w:val="20"/>
        </w:rPr>
      </w:pPr>
    </w:p>
    <w:p w:rsidR="00873396" w:rsidRPr="0012728C" w:rsidRDefault="00436721" w:rsidP="0012728C">
      <w:pPr>
        <w:pStyle w:val="Ttulo1"/>
        <w:spacing w:before="0"/>
        <w:rPr>
          <w:rFonts w:ascii="Century Gothic" w:hAnsi="Century Gothic"/>
          <w:b/>
          <w:color w:val="auto"/>
          <w:sz w:val="22"/>
          <w:szCs w:val="20"/>
        </w:rPr>
      </w:pPr>
      <w:r w:rsidRPr="001369DA">
        <w:rPr>
          <w:rFonts w:ascii="Century Gothic" w:hAnsi="Century Gothic"/>
          <w:b/>
          <w:color w:val="auto"/>
          <w:sz w:val="22"/>
          <w:szCs w:val="20"/>
        </w:rPr>
        <w:t>2.1. Otros temas relacionados con publicidad y publicaciones.</w:t>
      </w:r>
    </w:p>
    <w:p w:rsidR="00436721" w:rsidRPr="00633A77" w:rsidRDefault="00436721" w:rsidP="00873396">
      <w:pPr>
        <w:spacing w:after="0"/>
        <w:rPr>
          <w:sz w:val="4"/>
          <w:lang w:val="es-ES" w:eastAsia="es-ES"/>
        </w:rPr>
      </w:pPr>
    </w:p>
    <w:p w:rsidR="00436721" w:rsidRDefault="00436721" w:rsidP="00873396">
      <w:pPr>
        <w:pStyle w:val="Ttulo2"/>
        <w:jc w:val="both"/>
        <w:rPr>
          <w:rFonts w:ascii="Century Gothic" w:hAnsi="Century Gothic" w:cs="Arial"/>
          <w:b w:val="0"/>
          <w:color w:val="auto"/>
          <w:szCs w:val="20"/>
          <w:lang w:eastAsia="es-CO"/>
        </w:rPr>
      </w:pPr>
      <w:r w:rsidRPr="001369DA">
        <w:rPr>
          <w:rFonts w:ascii="Century Gothic" w:hAnsi="Century Gothic" w:cs="Arial"/>
          <w:b w:val="0"/>
          <w:color w:val="auto"/>
          <w:szCs w:val="20"/>
          <w:lang w:eastAsia="es-CO"/>
        </w:rPr>
        <w:t xml:space="preserve">A continuación, se relaciona los temas </w:t>
      </w:r>
      <w:r>
        <w:rPr>
          <w:rFonts w:ascii="Century Gothic" w:hAnsi="Century Gothic" w:cs="Arial"/>
          <w:b w:val="0"/>
          <w:color w:val="auto"/>
          <w:szCs w:val="20"/>
          <w:lang w:eastAsia="es-CO"/>
        </w:rPr>
        <w:t>mencionados</w:t>
      </w:r>
      <w:r w:rsidRPr="001369DA">
        <w:rPr>
          <w:rFonts w:ascii="Century Gothic" w:hAnsi="Century Gothic" w:cs="Arial"/>
          <w:b w:val="0"/>
          <w:color w:val="auto"/>
          <w:szCs w:val="20"/>
          <w:lang w:eastAsia="es-CO"/>
        </w:rPr>
        <w:t xml:space="preserve"> en la norma como son la </w:t>
      </w:r>
      <w:r w:rsidRPr="001369DA">
        <w:rPr>
          <w:rFonts w:ascii="Century Gothic" w:hAnsi="Century Gothic"/>
          <w:b w:val="0"/>
          <w:color w:val="auto"/>
          <w:szCs w:val="20"/>
          <w:lang w:val="es-MX" w:eastAsia="es-MX"/>
        </w:rPr>
        <w:t>Imprenta Nacional, gastos suntuarios, la impresión, suministro y utilización con cargo al Tesoro Público</w:t>
      </w:r>
      <w:r w:rsidRPr="001369DA">
        <w:rPr>
          <w:rFonts w:ascii="Century Gothic" w:hAnsi="Century Gothic" w:cs="Arial"/>
          <w:b w:val="0"/>
          <w:color w:val="auto"/>
          <w:szCs w:val="20"/>
          <w:lang w:eastAsia="es-CO"/>
        </w:rPr>
        <w:t>. Al respecto la dependencia manifiesta que se cumple con la normatividad:</w:t>
      </w:r>
    </w:p>
    <w:p w:rsidR="0012728C" w:rsidRDefault="0012728C" w:rsidP="0012728C">
      <w:pPr>
        <w:rPr>
          <w:lang w:val="es-ES" w:eastAsia="es-CO"/>
        </w:rPr>
      </w:pPr>
    </w:p>
    <w:p w:rsidR="0012728C" w:rsidRDefault="0012728C" w:rsidP="0012728C">
      <w:pPr>
        <w:rPr>
          <w:lang w:val="es-ES" w:eastAsia="es-CO"/>
        </w:rPr>
      </w:pPr>
    </w:p>
    <w:p w:rsidR="0012728C" w:rsidRDefault="0012728C" w:rsidP="0012728C">
      <w:pPr>
        <w:rPr>
          <w:lang w:val="es-ES" w:eastAsia="es-CO"/>
        </w:rPr>
      </w:pPr>
    </w:p>
    <w:p w:rsidR="0012728C" w:rsidRDefault="0012728C" w:rsidP="0012728C">
      <w:pPr>
        <w:rPr>
          <w:lang w:val="es-ES" w:eastAsia="es-CO"/>
        </w:rPr>
      </w:pPr>
    </w:p>
    <w:p w:rsidR="0012728C" w:rsidRPr="0012728C" w:rsidRDefault="0012728C" w:rsidP="0012728C">
      <w:pPr>
        <w:rPr>
          <w:lang w:val="es-ES" w:eastAsia="es-CO"/>
        </w:rPr>
      </w:pPr>
    </w:p>
    <w:tbl>
      <w:tblPr>
        <w:tblW w:w="10296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088"/>
        <w:gridCol w:w="1551"/>
        <w:gridCol w:w="2092"/>
      </w:tblGrid>
      <w:tr w:rsidR="00436721" w:rsidRPr="00A23CA5" w:rsidTr="003D63CA">
        <w:trPr>
          <w:trHeight w:val="486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436721" w:rsidRPr="00A23CA5" w:rsidRDefault="00436721" w:rsidP="00873396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23CA5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lastRenderedPageBreak/>
              <w:t>N°</w:t>
            </w:r>
            <w:proofErr w:type="spellEnd"/>
          </w:p>
        </w:tc>
        <w:tc>
          <w:tcPr>
            <w:tcW w:w="6088" w:type="dxa"/>
            <w:shd w:val="clear" w:color="auto" w:fill="auto"/>
            <w:noWrap/>
            <w:vAlign w:val="center"/>
            <w:hideMark/>
          </w:tcPr>
          <w:p w:rsidR="00436721" w:rsidRPr="00A23CA5" w:rsidRDefault="00436721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Preguntas al proceso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436721" w:rsidRPr="00A23CA5" w:rsidRDefault="00436721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Respuesta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436721" w:rsidRPr="00A23CA5" w:rsidRDefault="00436721" w:rsidP="0087339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436721" w:rsidRPr="00A23CA5" w:rsidTr="00873396">
        <w:trPr>
          <w:trHeight w:val="1217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436721" w:rsidRPr="00A23CA5" w:rsidRDefault="00436721" w:rsidP="00873396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A23CA5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6088" w:type="dxa"/>
            <w:shd w:val="clear" w:color="auto" w:fill="auto"/>
            <w:vAlign w:val="center"/>
            <w:hideMark/>
          </w:tcPr>
          <w:p w:rsidR="00436721" w:rsidRPr="00A23CA5" w:rsidRDefault="00436721" w:rsidP="0087339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En el cumplimiento del Art. 13 del Decreto 1737 de 1998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,</w:t>
            </w: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¿</w:t>
            </w: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El personal de la Entidad realizan gastos suntuarios, la impresión, suministro y utilización con cargo al Tesoro Público de tarjetas de presentación, ¿de Navidad, conmemoraciones, aniversarios o similares y el uso con fines personales de los servicios comunicación?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436721" w:rsidRPr="00A23CA5" w:rsidRDefault="00436721" w:rsidP="00873396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</w:p>
          <w:tbl>
            <w:tblPr>
              <w:tblW w:w="149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</w:tblGrid>
            <w:tr w:rsidR="00436721" w:rsidRPr="00A23CA5" w:rsidTr="003D63CA">
              <w:trPr>
                <w:trHeight w:val="1185"/>
                <w:tblCellSpacing w:w="0" w:type="dxa"/>
              </w:trPr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6721" w:rsidRPr="00A23CA5" w:rsidRDefault="00436721" w:rsidP="00873396">
                  <w:pPr>
                    <w:spacing w:after="0"/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A23CA5"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val="es-ES" w:eastAsia="es-ES"/>
                    </w:rPr>
                    <w:drawing>
                      <wp:anchor distT="0" distB="0" distL="114300" distR="114300" simplePos="0" relativeHeight="251659264" behindDoc="0" locked="0" layoutInCell="1" allowOverlap="1" wp14:anchorId="58C2EFDD" wp14:editId="4978E067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-220345</wp:posOffset>
                        </wp:positionV>
                        <wp:extent cx="371475" cy="609600"/>
                        <wp:effectExtent l="0" t="0" r="0" b="0"/>
                        <wp:wrapNone/>
                        <wp:docPr id="7" name="Imagen 7" descr="C:\Users\JOSE~1.MUR\AppData\Local\Temp\msohtmlclip1\01\clip_image001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OSE~1.MUR\AppData\Local\Temp\msohtmlclip1\01\clip_image001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23CA5"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val="es-ES" w:eastAsia="es-ES"/>
                    </w:rPr>
                    <w:drawing>
                      <wp:anchor distT="0" distB="0" distL="114300" distR="114300" simplePos="0" relativeHeight="251660288" behindDoc="0" locked="0" layoutInCell="1" allowOverlap="1" wp14:anchorId="3D45B792" wp14:editId="36A021F3">
                        <wp:simplePos x="0" y="0"/>
                        <wp:positionH relativeFrom="column">
                          <wp:posOffset>664845</wp:posOffset>
                        </wp:positionH>
                        <wp:positionV relativeFrom="paragraph">
                          <wp:posOffset>-224155</wp:posOffset>
                        </wp:positionV>
                        <wp:extent cx="371475" cy="609600"/>
                        <wp:effectExtent l="0" t="0" r="0" b="0"/>
                        <wp:wrapNone/>
                        <wp:docPr id="6" name="Imagen 6" descr="C:\Users\JOSE~1.MUR\AppData\Local\Temp\msohtmlclip1\01\clip_image002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OSE~1.MUR\AppData\Local\Temp\msohtmlclip1\01\clip_image002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23CA5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SI    </w:t>
                  </w:r>
                  <w:r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           </w:t>
                  </w:r>
                  <w:r w:rsidRPr="00A23CA5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NO</w:t>
                  </w:r>
                </w:p>
              </w:tc>
            </w:tr>
          </w:tbl>
          <w:p w:rsidR="00436721" w:rsidRPr="00A23CA5" w:rsidRDefault="00436721" w:rsidP="00873396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436721" w:rsidRPr="00A23CA5" w:rsidRDefault="00436721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436721" w:rsidRPr="00A23CA5" w:rsidTr="00873396">
        <w:trPr>
          <w:trHeight w:val="1168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436721" w:rsidRPr="00A23CA5" w:rsidRDefault="00436721" w:rsidP="00873396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A23CA5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6088" w:type="dxa"/>
            <w:shd w:val="clear" w:color="auto" w:fill="auto"/>
            <w:vAlign w:val="center"/>
            <w:hideMark/>
          </w:tcPr>
          <w:p w:rsidR="00436721" w:rsidRPr="00A23CA5" w:rsidRDefault="00436721" w:rsidP="00873396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En el cumplimiento del Art. 8 del Decreto 3667 de 2006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,</w:t>
            </w: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¿</w:t>
            </w: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la Entidad contrata o realiza directamente la edición, impresión o publicación de documentos que no estén relacionados con las funciones que legalmente deben cumplir, y/o contrata o patrocina la impresión de ediciones de lujo, y/o de impresiones con policromías?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436721" w:rsidRPr="00A23CA5" w:rsidRDefault="00436721" w:rsidP="00873396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</w:p>
          <w:tbl>
            <w:tblPr>
              <w:tblW w:w="149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</w:tblGrid>
            <w:tr w:rsidR="00436721" w:rsidRPr="00A23CA5" w:rsidTr="003D63CA">
              <w:trPr>
                <w:trHeight w:val="1222"/>
                <w:tblCellSpacing w:w="0" w:type="dxa"/>
              </w:trPr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436721" w:rsidRPr="00A23CA5" w:rsidRDefault="00436721" w:rsidP="00873396">
                  <w:pPr>
                    <w:spacing w:after="0"/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A23CA5"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val="es-ES" w:eastAsia="es-ES"/>
                    </w:rPr>
                    <w:drawing>
                      <wp:anchor distT="0" distB="0" distL="114300" distR="114300" simplePos="0" relativeHeight="251661312" behindDoc="0" locked="0" layoutInCell="1" allowOverlap="1" wp14:anchorId="38432CD0" wp14:editId="041AF09F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-69850</wp:posOffset>
                        </wp:positionV>
                        <wp:extent cx="371475" cy="304800"/>
                        <wp:effectExtent l="0" t="0" r="0" b="0"/>
                        <wp:wrapNone/>
                        <wp:docPr id="1" name="Imagen 1" descr="C:\Users\JOSE~1.MUR\AppData\Local\Temp\msohtmlclip1\01\clip_image003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OSE~1.MUR\AppData\Local\Temp\msohtmlclip1\01\clip_image003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23CA5"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val="es-ES" w:eastAsia="es-ES"/>
                    </w:rPr>
                    <w:drawing>
                      <wp:anchor distT="0" distB="0" distL="114300" distR="114300" simplePos="0" relativeHeight="251662336" behindDoc="0" locked="0" layoutInCell="1" allowOverlap="1" wp14:anchorId="188DBB10" wp14:editId="104E0A3D">
                        <wp:simplePos x="0" y="0"/>
                        <wp:positionH relativeFrom="column">
                          <wp:posOffset>732155</wp:posOffset>
                        </wp:positionH>
                        <wp:positionV relativeFrom="paragraph">
                          <wp:posOffset>-69850</wp:posOffset>
                        </wp:positionV>
                        <wp:extent cx="371475" cy="304800"/>
                        <wp:effectExtent l="0" t="0" r="0" b="0"/>
                        <wp:wrapNone/>
                        <wp:docPr id="3" name="Imagen 3" descr="C:\Users\JOSE~1.MUR\AppData\Local\Temp\msohtmlclip1\01\clip_image004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JOSE~1.MUR\AppData\Local\Temp\msohtmlclip1\01\clip_image004.png"/>
                                <pic:cNvPicPr preferRelativeResize="0">
                                  <a:picLocks noRot="1" noChangeArrowheads="1" noChangeShapeType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 SI               </w:t>
                  </w:r>
                  <w:r w:rsidRPr="00A23CA5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 xml:space="preserve"> NO</w:t>
                  </w:r>
                </w:p>
              </w:tc>
            </w:tr>
          </w:tbl>
          <w:p w:rsidR="00436721" w:rsidRPr="00A23CA5" w:rsidRDefault="00436721" w:rsidP="00873396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436721" w:rsidRPr="00A23CA5" w:rsidRDefault="00436721" w:rsidP="00873396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23C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</w:tbl>
    <w:p w:rsidR="00436721" w:rsidRDefault="00436721" w:rsidP="003D63CA">
      <w:pPr>
        <w:pStyle w:val="Ttulo1"/>
        <w:numPr>
          <w:ilvl w:val="0"/>
          <w:numId w:val="3"/>
        </w:numPr>
        <w:spacing w:before="480"/>
        <w:rPr>
          <w:rFonts w:ascii="Century Gothic" w:hAnsi="Century Gothic"/>
          <w:b/>
          <w:color w:val="auto"/>
          <w:sz w:val="24"/>
          <w:szCs w:val="20"/>
        </w:rPr>
      </w:pPr>
      <w:r w:rsidRPr="001D6335">
        <w:rPr>
          <w:rFonts w:ascii="Century Gothic" w:hAnsi="Century Gothic"/>
          <w:b/>
          <w:color w:val="auto"/>
          <w:sz w:val="24"/>
          <w:szCs w:val="20"/>
        </w:rPr>
        <w:t>SERVICIOS ADMINISTRATIVOS.</w:t>
      </w:r>
    </w:p>
    <w:p w:rsidR="0012728C" w:rsidRPr="0012728C" w:rsidRDefault="0012728C" w:rsidP="0012728C"/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1522"/>
        <w:gridCol w:w="1265"/>
        <w:gridCol w:w="1265"/>
        <w:gridCol w:w="1631"/>
        <w:gridCol w:w="3958"/>
      </w:tblGrid>
      <w:tr w:rsidR="00AC4250" w:rsidRPr="00AC4250" w:rsidTr="00AC4250">
        <w:trPr>
          <w:trHeight w:val="1275"/>
        </w:trPr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28C" w:rsidRDefault="0012728C" w:rsidP="00AC42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  <w:p w:rsidR="00AC4250" w:rsidRPr="00AC4250" w:rsidRDefault="00AC4250" w:rsidP="00AC4250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50" w:rsidRPr="00AC4250" w:rsidRDefault="00AC4250" w:rsidP="00AC42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Concepto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50" w:rsidRPr="00AC4250" w:rsidRDefault="00AC4250" w:rsidP="00AC42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Valor pagado entre octubre - diciembre vigencia 201</w:t>
            </w:r>
            <w:r w:rsidR="00B159B7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50" w:rsidRPr="00AC4250" w:rsidRDefault="00AC4250" w:rsidP="00AC42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Valor pagado entre octubre - diciembre vigencia 201</w:t>
            </w:r>
            <w:r w:rsidR="00B159B7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50" w:rsidRPr="00AC4250" w:rsidRDefault="00AC4250" w:rsidP="00AC4250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% Variación del valor pagado entre octubre - diciembre de 2017 respecto al mismo periodo de la vigencia 201</w:t>
            </w:r>
            <w:r w:rsidR="00B159B7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4250" w:rsidRDefault="00AC4250" w:rsidP="00AC4250">
            <w:pPr>
              <w:pStyle w:val="Prrafodelista"/>
              <w:numPr>
                <w:ilvl w:val="0"/>
                <w:numId w:val="8"/>
              </w:numPr>
              <w:spacing w:after="0"/>
              <w:ind w:left="341"/>
              <w:jc w:val="both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El aumento en el consumo de servicio de acueducto</w:t>
            </w:r>
            <w:r w:rsid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$</w:t>
            </w:r>
            <w:r w:rsidR="003D63CA" w:rsidRP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14</w:t>
            </w:r>
            <w:r w:rsid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  <w:r w:rsidR="003D63CA" w:rsidRP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363</w:t>
            </w:r>
            <w:r w:rsid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  <w:r w:rsidR="003D63CA" w:rsidRP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835</w:t>
            </w:r>
            <w:r w:rsid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(81.32%)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con respecto al año anterior, </w:t>
            </w: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se refleja en</w:t>
            </w:r>
            <w:r w:rsid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cada una de las diferentes sedes tanto a nivel local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-Bogotá D.C., </w:t>
            </w:r>
            <w:r w:rsidR="003D63CA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como en </w:t>
            </w: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las territoriales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, el valor de Acueducto es por </w:t>
            </w:r>
            <w:r w:rsidR="00FA1DB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$ </w:t>
            </w:r>
            <w:r w:rsidR="00FA1DB8"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32</w:t>
            </w:r>
            <w:r w:rsidR="00FA1DB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="00FA1DB8"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026</w:t>
            </w:r>
            <w:r w:rsidR="00FA1DB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="00FA1DB8"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820</w:t>
            </w:r>
            <w:r w:rsidR="00FA1DB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(10.68%)</w:t>
            </w:r>
          </w:p>
          <w:p w:rsidR="00FA1DB8" w:rsidRDefault="00FA1DB8" w:rsidP="00FA1DB8">
            <w:pPr>
              <w:pStyle w:val="Prrafodelista"/>
              <w:numPr>
                <w:ilvl w:val="0"/>
                <w:numId w:val="8"/>
              </w:numPr>
              <w:spacing w:after="0"/>
              <w:ind w:left="341"/>
              <w:jc w:val="both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El aumento en el consumo de servicio de 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energía $</w:t>
            </w:r>
            <w:r w:rsidR="00472DCC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</w:t>
            </w:r>
            <w:r w:rsidRP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36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  <w:r w:rsidRP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259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  <w:r w:rsidRP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107 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(19.03%) con respecto al año anterior, </w:t>
            </w: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se refleja en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cada una de las diferentes sedes tanto a nivel local-Bogotá D.C., como en </w:t>
            </w: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las territoriales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, el valor de 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Energía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es por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$ 226.727.752(75.63%)</w:t>
            </w:r>
          </w:p>
          <w:p w:rsidR="00AC4250" w:rsidRDefault="00AC4250" w:rsidP="00AC4250">
            <w:pPr>
              <w:pStyle w:val="Prrafodelista"/>
              <w:numPr>
                <w:ilvl w:val="0"/>
                <w:numId w:val="8"/>
              </w:numPr>
              <w:spacing w:after="0"/>
              <w:ind w:left="341"/>
              <w:jc w:val="both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En el servicio de Gas se 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incrementa $</w:t>
            </w:r>
            <w:r w:rsidR="00FA1DB8" w:rsidRP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2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  <w:r w:rsidR="00FA1DB8" w:rsidRP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363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  <w:r w:rsidR="00FA1DB8" w:rsidRP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152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(</w:t>
            </w:r>
            <w:r w:rsidR="00FA1DB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1.498,12</w:t>
            </w:r>
            <w:r w:rsidR="00FA1DB8"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  <w:r w:rsidR="00FA1DB8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)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</w:t>
            </w: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de consu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mo </w:t>
            </w:r>
            <w:r w:rsidR="00FA1DB8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local-Bogotá D.C., como en </w:t>
            </w:r>
            <w:r w:rsidR="00FA1DB8"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las territoriales</w:t>
            </w:r>
            <w:r w:rsidR="00A2147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</w:p>
          <w:p w:rsidR="00AC4250" w:rsidRDefault="00AC4250" w:rsidP="00AC4250">
            <w:pPr>
              <w:pStyle w:val="Prrafodelista"/>
              <w:numPr>
                <w:ilvl w:val="0"/>
                <w:numId w:val="8"/>
              </w:numPr>
              <w:spacing w:after="0"/>
              <w:ind w:left="341"/>
              <w:jc w:val="both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La cantidad de líneas y los planes de telefonía móvil celular </w:t>
            </w:r>
            <w:r w:rsidR="00A2147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disminuyeron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con respecto al 2017</w:t>
            </w:r>
            <w:r w:rsidR="00A2147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para el año 2018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en $ </w:t>
            </w:r>
            <w:r w:rsidR="000957A4" w:rsidRP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4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  <w:r w:rsidR="000957A4" w:rsidRP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131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  <w:r w:rsidR="000957A4" w:rsidRP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82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1(65.27%) </w:t>
            </w:r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la disminución en el consumo se da principalmente en los servicios </w:t>
            </w:r>
            <w:proofErr w:type="gramStart"/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de</w:t>
            </w:r>
            <w:r w:rsidR="0012728C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</w:t>
            </w:r>
            <w:proofErr w:type="spellStart"/>
            <w:r w:rsidRPr="00AC4250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r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oaming</w:t>
            </w:r>
            <w:proofErr w:type="spellEnd"/>
            <w:proofErr w:type="gramEnd"/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por la Direc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ción y </w:t>
            </w:r>
            <w:r w:rsidR="0012728C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S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ecretaría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</w:t>
            </w:r>
            <w:r w:rsidR="0012728C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G</w:t>
            </w: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eneral</w:t>
            </w:r>
            <w:r w:rsidR="000957A4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.</w:t>
            </w:r>
          </w:p>
          <w:p w:rsidR="00AC4250" w:rsidRPr="0004397D" w:rsidRDefault="00AC4250" w:rsidP="008D122C">
            <w:pPr>
              <w:pStyle w:val="Prrafodelista"/>
              <w:numPr>
                <w:ilvl w:val="0"/>
                <w:numId w:val="8"/>
              </w:numPr>
              <w:spacing w:after="0"/>
              <w:ind w:left="341"/>
              <w:jc w:val="both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  <w:r w:rsidRPr="0004397D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El consumo de telefonía fija </w:t>
            </w:r>
            <w:r w:rsidR="000957A4" w:rsidRPr="0004397D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2018</w:t>
            </w:r>
            <w:r w:rsidRPr="0004397D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</w:t>
            </w:r>
            <w:r w:rsidR="0004397D" w:rsidRPr="0004397D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presenta</w:t>
            </w:r>
            <w:r w:rsidRPr="0004397D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 un </w:t>
            </w:r>
            <w:r w:rsidR="0004397D" w:rsidRPr="0004397D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incremento de $11.707.883</w:t>
            </w:r>
            <w:r w:rsidRPr="0004397D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. </w:t>
            </w:r>
            <w:r w:rsidR="0004397D" w:rsidRPr="0004397D"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 xml:space="preserve">con respecto al año anterior, se refleja en cada una de las diferentes sedes tanto a nivel local-Bogotá D.C., como en las territoriales, el valor de telefonía y otros es por </w:t>
            </w:r>
            <w:r w:rsidR="0004397D" w:rsidRPr="0004397D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$ 29.417.527 (9.81%).</w:t>
            </w:r>
          </w:p>
          <w:p w:rsidR="00AC4250" w:rsidRPr="00AC4250" w:rsidRDefault="00577F2C" w:rsidP="00AC4250">
            <w:pPr>
              <w:pStyle w:val="Prrafodelista"/>
              <w:numPr>
                <w:ilvl w:val="0"/>
                <w:numId w:val="8"/>
              </w:numPr>
              <w:spacing w:after="0"/>
              <w:ind w:left="341"/>
              <w:jc w:val="both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  <w:t>En el total general para el año 2018  los servicios públicos se aumentaron en un 23.66% en con respecto al año anterior.</w:t>
            </w:r>
          </w:p>
        </w:tc>
      </w:tr>
      <w:tr w:rsidR="00B159B7" w:rsidRPr="00AC4250" w:rsidTr="00CE041A">
        <w:trPr>
          <w:trHeight w:val="73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B159B7" w:rsidP="00B159B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ACUEDUCTO ALCANTARILLADO Y ASEO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17.662.985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1307D1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32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026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CE041A" w:rsidP="00CE041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81.32</w:t>
            </w:r>
            <w:r w:rsidR="00B159B7"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</w:p>
        </w:tc>
      </w:tr>
      <w:tr w:rsidR="00B159B7" w:rsidRPr="00AC4250" w:rsidTr="00CE041A">
        <w:trPr>
          <w:trHeight w:val="46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B159B7" w:rsidP="00B159B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ENERGIA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190.468.645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1307D1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226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727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752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CE041A" w:rsidP="00CE041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19.03</w:t>
            </w:r>
            <w:r w:rsidR="00B159B7"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</w:p>
        </w:tc>
      </w:tr>
      <w:tr w:rsidR="00B159B7" w:rsidRPr="00AC4250" w:rsidTr="00CE041A">
        <w:trPr>
          <w:trHeight w:val="46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B159B7" w:rsidP="00B159B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GAS NATURAL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169.023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1307D1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532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CE041A" w:rsidP="00CE041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1.498,12</w:t>
            </w:r>
            <w:r w:rsidR="00B159B7"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</w:p>
        </w:tc>
      </w:tr>
      <w:tr w:rsidR="00B159B7" w:rsidRPr="00AC4250" w:rsidTr="00CE041A">
        <w:trPr>
          <w:trHeight w:val="67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B159B7" w:rsidP="00B159B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TELEFONIA MOVIL CELULAR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6.329.810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1307D1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197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989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CE041A" w:rsidP="00CE041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-65.27</w:t>
            </w:r>
            <w:r w:rsidR="00B159B7"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</w:p>
        </w:tc>
      </w:tr>
      <w:tr w:rsidR="00B159B7" w:rsidRPr="00AC4250" w:rsidTr="00CE041A">
        <w:trPr>
          <w:trHeight w:val="57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B159B7" w:rsidP="00B159B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TELEFONO, FAX Y OTROS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17.709.644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1307D1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29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417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527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CE041A" w:rsidP="00CE041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66.11</w:t>
            </w:r>
            <w:r w:rsidR="00B159B7"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</w:p>
        </w:tc>
      </w:tr>
      <w:tr w:rsidR="00B159B7" w:rsidRPr="00AC4250" w:rsidTr="00CE041A">
        <w:trPr>
          <w:trHeight w:val="66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B159B7" w:rsidP="00B159B7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OTROS SERVICIOS PÚBLICOS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B159B7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10.245.508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B7" w:rsidRPr="00AC4250" w:rsidRDefault="001307D1" w:rsidP="00CE041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6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851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Pr="001307D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268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577F2C" w:rsidP="00CE041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-33.12</w:t>
            </w:r>
            <w:r w:rsidR="00B159B7" w:rsidRPr="00AC425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</w:p>
        </w:tc>
      </w:tr>
      <w:tr w:rsidR="00B159B7" w:rsidRPr="00AC4250" w:rsidTr="00CE041A">
        <w:trPr>
          <w:trHeight w:val="54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B159B7" w:rsidP="00CE041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TOTALES $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B159B7" w:rsidP="00CE041A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242.393.36</w:t>
            </w:r>
            <w:r w:rsidR="0012728C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3D63CA" w:rsidP="00CE041A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$ </w:t>
            </w:r>
            <w:r w:rsidR="00CE041A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299.753.531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B7" w:rsidRPr="00AC4250" w:rsidRDefault="00CE041A" w:rsidP="00CE041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23.66</w:t>
            </w:r>
            <w:r w:rsidR="00B159B7" w:rsidRPr="00AC4250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59B7" w:rsidRPr="00AC4250" w:rsidRDefault="00B159B7" w:rsidP="00B159B7">
            <w:pPr>
              <w:spacing w:after="0"/>
              <w:rPr>
                <w:rFonts w:ascii="Century Gothic" w:eastAsia="Times New Roman" w:hAnsi="Century Gothic"/>
                <w:color w:val="000000"/>
                <w:sz w:val="15"/>
                <w:szCs w:val="15"/>
                <w:lang w:val="es-CO" w:eastAsia="es-CO"/>
              </w:rPr>
            </w:pPr>
          </w:p>
        </w:tc>
      </w:tr>
    </w:tbl>
    <w:p w:rsidR="00436721" w:rsidRPr="001369DA" w:rsidRDefault="00436721" w:rsidP="00436721">
      <w:pPr>
        <w:pStyle w:val="Ttulo1"/>
        <w:numPr>
          <w:ilvl w:val="1"/>
          <w:numId w:val="5"/>
        </w:numPr>
        <w:spacing w:before="480"/>
        <w:ind w:hanging="40"/>
        <w:rPr>
          <w:rFonts w:ascii="Century Gothic" w:hAnsi="Century Gothic"/>
          <w:b/>
          <w:color w:val="auto"/>
          <w:sz w:val="22"/>
          <w:szCs w:val="20"/>
        </w:rPr>
      </w:pPr>
      <w:r w:rsidRPr="001369DA">
        <w:rPr>
          <w:rFonts w:ascii="Century Gothic" w:hAnsi="Century Gothic"/>
          <w:b/>
          <w:color w:val="auto"/>
          <w:sz w:val="22"/>
          <w:szCs w:val="20"/>
        </w:rPr>
        <w:t>Vehículos.</w:t>
      </w:r>
    </w:p>
    <w:p w:rsidR="00436721" w:rsidRPr="00633A77" w:rsidRDefault="00436721" w:rsidP="00436721">
      <w:pPr>
        <w:rPr>
          <w:rFonts w:ascii="Century Gothic" w:hAnsi="Century Gothic" w:cs="Arial"/>
          <w:sz w:val="2"/>
          <w:szCs w:val="20"/>
          <w:lang w:val="es-CO" w:eastAsia="es-CO"/>
        </w:rPr>
      </w:pPr>
    </w:p>
    <w:p w:rsidR="00436721" w:rsidRDefault="00436721" w:rsidP="00436721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633A77">
        <w:rPr>
          <w:rFonts w:ascii="Century Gothic" w:hAnsi="Century Gothic" w:cs="Arial"/>
          <w:sz w:val="18"/>
          <w:szCs w:val="20"/>
          <w:lang w:val="es-CO" w:eastAsia="es-CO"/>
        </w:rPr>
        <w:softHyphen/>
      </w:r>
      <w:r w:rsidRPr="00633A77">
        <w:rPr>
          <w:rFonts w:ascii="Century Gothic" w:hAnsi="Century Gothic" w:cs="Arial"/>
          <w:sz w:val="18"/>
          <w:szCs w:val="20"/>
          <w:lang w:val="es-CO" w:eastAsia="es-CO"/>
        </w:rPr>
        <w:softHyphen/>
      </w:r>
      <w:r w:rsidRPr="00633A77">
        <w:rPr>
          <w:rFonts w:ascii="Century Gothic" w:hAnsi="Century Gothic" w:cs="Arial"/>
          <w:sz w:val="18"/>
          <w:szCs w:val="20"/>
          <w:lang w:val="es-CO" w:eastAsia="es-CO"/>
        </w:rPr>
        <w:softHyphen/>
      </w:r>
      <w:r w:rsidRPr="00633A77">
        <w:rPr>
          <w:rFonts w:ascii="Century Gothic" w:hAnsi="Century Gothic" w:cs="Arial"/>
          <w:sz w:val="18"/>
          <w:szCs w:val="20"/>
          <w:lang w:val="es-CO" w:eastAsia="es-CO"/>
        </w:rPr>
        <w:softHyphen/>
        <w:t>Dando</w:t>
      </w:r>
      <w:r w:rsidRPr="00BF17DA">
        <w:rPr>
          <w:rFonts w:ascii="Century Gothic" w:hAnsi="Century Gothic" w:cs="Arial"/>
          <w:sz w:val="20"/>
          <w:szCs w:val="20"/>
          <w:lang w:val="es-CO" w:eastAsia="es-CO"/>
        </w:rPr>
        <w:t xml:space="preserve"> cumplimiento al Art. 17 a 19 Capitulo IV del Decreto1737 de 1998 en temas relacionados en servicios administrativos – vehículos, se presenta a continuación la tabla donde se relaciona los pagos por cada concepto y una breve explicación de la dependencia</w:t>
      </w:r>
      <w:r>
        <w:rPr>
          <w:rFonts w:ascii="Century Gothic" w:hAnsi="Century Gothic" w:cs="Arial"/>
          <w:sz w:val="20"/>
          <w:szCs w:val="20"/>
          <w:lang w:val="es-CO" w:eastAsia="es-CO"/>
        </w:rPr>
        <w:t>.</w:t>
      </w:r>
    </w:p>
    <w:p w:rsidR="00436721" w:rsidRDefault="00436721" w:rsidP="00436721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tbl>
      <w:tblPr>
        <w:tblW w:w="9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108"/>
        <w:gridCol w:w="813"/>
        <w:gridCol w:w="838"/>
        <w:gridCol w:w="709"/>
        <w:gridCol w:w="850"/>
        <w:gridCol w:w="851"/>
        <w:gridCol w:w="721"/>
        <w:gridCol w:w="993"/>
        <w:gridCol w:w="2677"/>
      </w:tblGrid>
      <w:tr w:rsidR="00846E9B" w:rsidRPr="00846E9B" w:rsidTr="00D06E44">
        <w:trPr>
          <w:trHeight w:val="133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lastRenderedPageBreak/>
              <w:t> 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Costo del servicio (</w:t>
            </w:r>
            <w:r w:rsidRPr="00846E9B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Vehículos</w:t>
            </w: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pagado entre octubre - diciembre de la vigencia 201</w:t>
            </w:r>
            <w:r w:rsidR="005B7C3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pagado entre octubre - diciembre de la vigencia 201</w:t>
            </w:r>
            <w:r w:rsidR="005B7C3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 Variación del valor pagado entre octubre - diciembre de 2017 respecto al mismo periodo de la vigencia 201</w:t>
            </w:r>
            <w:r w:rsidR="005B7C3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C4F" w:rsidRDefault="003A0683" w:rsidP="003A0683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sz w:val="14"/>
                <w:szCs w:val="14"/>
                <w:u w:val="single"/>
                <w:lang w:val="es-CO" w:eastAsia="es-CO"/>
              </w:rPr>
              <w:t>Administrativa:</w:t>
            </w:r>
            <w:r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</w:t>
            </w:r>
          </w:p>
          <w:p w:rsidR="00846E9B" w:rsidRDefault="00401C4F" w:rsidP="003A0683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Para el año 2018 se evidencia un incremento con respecto a la vigencia anterior por </w:t>
            </w:r>
            <w:r w:rsidR="0020314C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valor $</w:t>
            </w:r>
            <w:r w:rsidRPr="00401C4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20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</w:t>
            </w:r>
            <w:r w:rsidRPr="00401C4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917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</w:t>
            </w:r>
            <w:r w:rsidRPr="00401C4F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119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(2.59%)</w:t>
            </w:r>
          </w:p>
          <w:p w:rsidR="00846E9B" w:rsidRDefault="00E13368" w:rsidP="003A0683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Facturado de las camionetas Fijas de los meses de octubre a Diciembre: Octubre $269.619.350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(32.54%)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, Noviembre $245.108.500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(29.23%)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y Diciembre $196.086.800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(23.67%)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la variación en el contrato 1390 de 2018 es por el incremento del número de las camionetas fijas que paso a 30 camionetas </w:t>
            </w:r>
            <w:r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en el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2018 para cubrir todas las Direcciones Territoriales y sedes de la Unidad.</w:t>
            </w:r>
          </w:p>
          <w:p w:rsidR="003A0683" w:rsidRPr="003A0683" w:rsidRDefault="00E13368" w:rsidP="00E13368">
            <w:pPr>
              <w:spacing w:after="0"/>
              <w:jc w:val="both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Los servicios X demanda no cuenta con un valor fijo ya que estos dependen del número de servicio efectivamente prestados, cada mes var</w:t>
            </w:r>
            <w:r w:rsidR="006A227C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í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a, ejemplo:</w:t>
            </w:r>
            <w:r w:rsidR="0020314C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Octubre fue de $68.636.061</w:t>
            </w:r>
            <w:r w:rsidR="0020314C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(8.28%)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, Noviembre $29.449.345</w:t>
            </w:r>
            <w:r w:rsidR="0020314C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(3.55%)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y en diciembre $19.498.952</w:t>
            </w:r>
            <w:r w:rsidR="0020314C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(2.35%)</w:t>
            </w:r>
            <w:r w:rsidRPr="00E13368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</w:t>
            </w:r>
            <w:r w:rsidR="003A0683"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br/>
              <w:t xml:space="preserve"> </w:t>
            </w:r>
            <w:r w:rsidR="003A0683" w:rsidRPr="003A0683">
              <w:rPr>
                <w:rFonts w:ascii="Century Gothic" w:eastAsia="Times New Roman" w:hAnsi="Century Gothic"/>
                <w:b/>
                <w:bCs/>
                <w:sz w:val="14"/>
                <w:szCs w:val="14"/>
                <w:u w:val="single"/>
                <w:lang w:val="es-CO" w:eastAsia="es-CO"/>
              </w:rPr>
              <w:t>FRV:</w:t>
            </w:r>
            <w:r w:rsidR="003A0683"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El  pago </w:t>
            </w:r>
            <w:r w:rsidR="000040B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en</w:t>
            </w:r>
            <w:r w:rsidR="003A0683"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la vigencia 201</w:t>
            </w:r>
            <w:r w:rsidR="000040B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8 por valor de $</w:t>
            </w:r>
            <w:r w:rsidR="004337AA" w:rsidRP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18</w:t>
            </w:r>
            <w:r w:rsid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</w:t>
            </w:r>
            <w:r w:rsidR="004337AA" w:rsidRP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476</w:t>
            </w:r>
            <w:r w:rsid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.</w:t>
            </w:r>
            <w:r w:rsidR="004337AA" w:rsidRP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400 </w:t>
            </w:r>
            <w:r w:rsidR="000040B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(</w:t>
            </w:r>
            <w:r w:rsid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18.36</w:t>
            </w:r>
            <w:r w:rsidR="000040B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%)</w:t>
            </w:r>
            <w:r w:rsid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disminuye</w:t>
            </w:r>
            <w:r w:rsidR="000040B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</w:t>
            </w:r>
            <w:r w:rsidR="003A0683"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con respecto a la vigencia 201</w:t>
            </w:r>
            <w:r w:rsidR="000040B7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7</w:t>
            </w:r>
            <w:r w:rsidR="003A0683"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, se debe a</w:t>
            </w:r>
            <w:r w:rsid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la reducción de contratación servicios</w:t>
            </w:r>
            <w:r w:rsidR="003A0683"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bajo</w:t>
            </w:r>
            <w:r w:rsid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la</w:t>
            </w:r>
            <w:r w:rsidR="003A0683"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 xml:space="preserve"> administración </w:t>
            </w:r>
            <w:r w:rsidR="004337AA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d</w:t>
            </w:r>
            <w:r w:rsidR="003A0683" w:rsidRPr="003A0683"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  <w:t>el FRV.</w:t>
            </w:r>
          </w:p>
        </w:tc>
      </w:tr>
      <w:tr w:rsidR="00846E9B" w:rsidRPr="00846E9B" w:rsidTr="005B7C3A">
        <w:trPr>
          <w:trHeight w:val="79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83" w:rsidRPr="003A0683" w:rsidRDefault="003A0683" w:rsidP="003A0683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83" w:rsidRPr="003A0683" w:rsidRDefault="003A0683" w:rsidP="003A068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facturado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del servicio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de hora extra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facturado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del servicio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83" w:rsidRPr="003A0683" w:rsidRDefault="003A0683" w:rsidP="003A068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total de hora extra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83" w:rsidRPr="003A0683" w:rsidRDefault="003A0683" w:rsidP="003A0683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83" w:rsidRPr="003A0683" w:rsidRDefault="003A0683" w:rsidP="003A0683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5B7C3A" w:rsidRPr="00846E9B" w:rsidTr="005B7C3A">
        <w:trPr>
          <w:trHeight w:val="64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Administrativa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 xml:space="preserve">807.481.890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 xml:space="preserve">807.481.890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828.399.009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828.399.009</w:t>
            </w: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401C4F" w:rsidP="00401C4F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2.59</w:t>
            </w:r>
            <w:r w:rsidR="005B7C3A"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%</w:t>
            </w: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5B7C3A" w:rsidRPr="00846E9B" w:rsidTr="005B7C3A">
        <w:trPr>
          <w:trHeight w:val="54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3A" w:rsidRPr="003A0683" w:rsidRDefault="005B7C3A" w:rsidP="005B7C3A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Fondo de Reparación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 xml:space="preserve">100.618.000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 xml:space="preserve">100.618.000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4337AA" w:rsidP="005B7C3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82.141.600</w:t>
            </w:r>
            <w:r w:rsidR="005B7C3A"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4337AA" w:rsidP="005B7C3A">
            <w:pPr>
              <w:spacing w:after="0"/>
              <w:jc w:val="right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82.141.600</w:t>
            </w: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4337AA" w:rsidP="00401C4F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-18.36</w:t>
            </w:r>
            <w:r w:rsidR="005B7C3A" w:rsidRPr="003A0683">
              <w:rPr>
                <w:rFonts w:ascii="Century Gothic" w:eastAsia="Times New Roman" w:hAnsi="Century Gothic"/>
                <w:color w:val="000000"/>
                <w:sz w:val="12"/>
                <w:szCs w:val="12"/>
                <w:lang w:val="es-CO" w:eastAsia="es-CO"/>
              </w:rPr>
              <w:t>%</w:t>
            </w: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5B7C3A" w:rsidRPr="00846E9B" w:rsidTr="005B7C3A">
        <w:trPr>
          <w:trHeight w:val="564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SUBTOTALES $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908.099.890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5B7C3A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908.099.890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4337AA" w:rsidP="005B7C3A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4337AA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910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.</w:t>
            </w:r>
            <w:r w:rsidRPr="004337AA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540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.</w:t>
            </w:r>
            <w:r w:rsidRPr="004337AA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4337AA" w:rsidP="005B7C3A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4337AA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910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.</w:t>
            </w:r>
            <w:r w:rsidRPr="004337AA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540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.</w:t>
            </w:r>
            <w:r w:rsidRPr="004337AA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609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2"/>
                <w:szCs w:val="12"/>
                <w:lang w:val="es-CO" w:eastAsia="es-CO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3A" w:rsidRPr="003A0683" w:rsidRDefault="005B7C3A" w:rsidP="00401C4F">
            <w:pPr>
              <w:spacing w:after="0"/>
              <w:jc w:val="center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  <w:tr w:rsidR="00D06E44" w:rsidRPr="00846E9B" w:rsidTr="005B7C3A">
        <w:trPr>
          <w:trHeight w:val="767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E44" w:rsidRPr="003A0683" w:rsidRDefault="00D06E44" w:rsidP="00D06E44">
            <w:pPr>
              <w:spacing w:after="0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TOTALES $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44" w:rsidRPr="003A0683" w:rsidRDefault="00D06E44" w:rsidP="00D06E4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908.099.890   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E44" w:rsidRPr="00D06E44" w:rsidRDefault="004337AA" w:rsidP="00D06E4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4337AA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910.540.609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44" w:rsidRPr="003A0683" w:rsidRDefault="004337AA" w:rsidP="00401C4F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0.26</w:t>
            </w:r>
            <w:r w:rsidR="00D06E44" w:rsidRPr="003A068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44" w:rsidRPr="003A0683" w:rsidRDefault="00D06E44" w:rsidP="00D06E44">
            <w:pPr>
              <w:spacing w:after="0"/>
              <w:rPr>
                <w:rFonts w:ascii="Century Gothic" w:eastAsia="Times New Roman" w:hAnsi="Century Gothic"/>
                <w:sz w:val="14"/>
                <w:szCs w:val="14"/>
                <w:lang w:val="es-CO" w:eastAsia="es-CO"/>
              </w:rPr>
            </w:pPr>
          </w:p>
        </w:tc>
      </w:tr>
    </w:tbl>
    <w:p w:rsidR="003818D3" w:rsidRDefault="003818D3" w:rsidP="00436721">
      <w:pPr>
        <w:rPr>
          <w:lang w:val="es-CO" w:eastAsia="es-ES"/>
        </w:rPr>
      </w:pPr>
    </w:p>
    <w:tbl>
      <w:tblPr>
        <w:tblW w:w="9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108"/>
        <w:gridCol w:w="883"/>
        <w:gridCol w:w="883"/>
        <w:gridCol w:w="1995"/>
        <w:gridCol w:w="4675"/>
      </w:tblGrid>
      <w:tr w:rsidR="007459A4" w:rsidRPr="007459A4" w:rsidTr="003818D3">
        <w:trPr>
          <w:trHeight w:val="52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A4" w:rsidRPr="007459A4" w:rsidRDefault="007459A4" w:rsidP="007459A4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7459A4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Nº</w:t>
            </w:r>
            <w:proofErr w:type="spellEnd"/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Aspectos cuantitativos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Situaciones encontradas por la OCI</w:t>
            </w:r>
          </w:p>
        </w:tc>
      </w:tr>
      <w:tr w:rsidR="007459A4" w:rsidRPr="007459A4" w:rsidTr="00D06E44">
        <w:trPr>
          <w:trHeight w:val="139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9A4" w:rsidRPr="007459A4" w:rsidRDefault="007459A4" w:rsidP="007459A4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7459A4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vehículos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Cantidad entre octubre - diciembre de la vigencia 201</w:t>
            </w:r>
            <w:r w:rsidR="0012728C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Cantidad </w:t>
            </w:r>
            <w:r w:rsidR="003818D3"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entre octubre</w:t>
            </w: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- diciembre de la vigencia 201</w:t>
            </w:r>
            <w:r w:rsidR="0012728C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% </w:t>
            </w:r>
            <w:r w:rsidR="003818D3"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Variación</w:t>
            </w: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de la cantidad entre   octubre - diciembre de 2017 respecto al mismo periodo de la vigencia 201</w:t>
            </w:r>
            <w:r w:rsidR="00B2112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17" w:rsidRDefault="007459A4" w:rsidP="007459A4">
            <w:pPr>
              <w:spacing w:after="0"/>
              <w:jc w:val="both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Administrativa: </w:t>
            </w:r>
          </w:p>
          <w:p w:rsidR="0047584F" w:rsidRDefault="0047584F" w:rsidP="007459A4">
            <w:pPr>
              <w:spacing w:after="0"/>
              <w:jc w:val="both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</w:p>
          <w:p w:rsidR="00F41517" w:rsidRDefault="007459A4" w:rsidP="007459A4">
            <w:pPr>
              <w:spacing w:after="0"/>
              <w:jc w:val="both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Para </w:t>
            </w:r>
            <w:r w:rsidR="007312DE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los </w:t>
            </w: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mes</w:t>
            </w:r>
            <w:r w:rsidR="00797C82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es</w:t>
            </w: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de </w:t>
            </w:r>
            <w:r w:rsidR="00797C82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octubre, </w:t>
            </w: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noviembre y diciembre </w:t>
            </w:r>
            <w:r w:rsidR="00797C82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el número de vehículos</w:t>
            </w:r>
            <w:r w:rsidR="005570C6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eventuales</w:t>
            </w:r>
            <w:r w:rsidR="00797C82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presenta una disminución en la contratación de los servicios prestados de 16(9.58%), sin </w:t>
            </w:r>
            <w:r w:rsidR="00F41517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embargo,</w:t>
            </w:r>
            <w:r w:rsidR="00797C82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para el mismo periodo se </w:t>
            </w:r>
            <w:r w:rsidR="00F41517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evidencia incremento en el valor económico cancelado que se presenta por reajuste al valor unitarios de los servicios que se cancelan</w:t>
            </w:r>
            <w:r w:rsidR="0047584F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que en total fueron 151</w:t>
            </w:r>
            <w:r w:rsidR="00F41517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.</w:t>
            </w:r>
          </w:p>
          <w:p w:rsidR="0047584F" w:rsidRDefault="0047584F" w:rsidP="00F41517">
            <w:pPr>
              <w:spacing w:after="0"/>
              <w:jc w:val="both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</w:p>
          <w:p w:rsidR="00F41517" w:rsidRDefault="00F41517" w:rsidP="00F41517">
            <w:pPr>
              <w:spacing w:after="0"/>
              <w:jc w:val="both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Para 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los </w:t>
            </w: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mes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es</w:t>
            </w: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de 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octubre, </w:t>
            </w:r>
            <w:r w:rsidRPr="007459A4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noviembre y diciembre 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el número de vehículos contratados de tiempo completo y de lunes a viernes</w:t>
            </w:r>
            <w:r w:rsidR="0047584F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no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presenta </w:t>
            </w:r>
            <w:r w:rsidR="0047584F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variación alguna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, sin embargo, para el mismo periodo se evidencia incremento en el valor económico cancelado que se presenta por reajuste al valor unitarios de los servicios que se cancelan</w:t>
            </w:r>
            <w:r w:rsidR="0047584F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que en total fueron 90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.</w:t>
            </w:r>
          </w:p>
          <w:p w:rsidR="0047584F" w:rsidRDefault="0047584F" w:rsidP="007459A4">
            <w:pPr>
              <w:spacing w:after="0"/>
              <w:jc w:val="both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</w:p>
          <w:p w:rsidR="00643F05" w:rsidRPr="007459A4" w:rsidRDefault="0047584F" w:rsidP="007459A4">
            <w:pPr>
              <w:spacing w:after="0"/>
              <w:jc w:val="both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El</w:t>
            </w:r>
            <w:r w:rsidR="00643F05" w:rsidRPr="00643F05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FRV utilizó </w:t>
            </w:r>
            <w:r w:rsidR="0012728C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121</w:t>
            </w:r>
            <w:r w:rsidR="00643F05" w:rsidRPr="00643F05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servicios que 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se contrataron para el cuarto trimestre del año 2018, donde se evidencia </w:t>
            </w:r>
            <w:r w:rsidR="00AE6C36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>un incremento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de 22 servicios contratados con respecto a la misma vigencia del 2017</w:t>
            </w:r>
            <w:r w:rsidR="00AE6C36"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 por necesidades de las territoriales</w:t>
            </w:r>
            <w:r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  <w:t xml:space="preserve">. </w:t>
            </w:r>
          </w:p>
        </w:tc>
      </w:tr>
      <w:tr w:rsidR="007459A4" w:rsidRPr="007459A4" w:rsidTr="003818D3">
        <w:trPr>
          <w:trHeight w:val="55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7459A4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Administrativa (Servicio prestado)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B21127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167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151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D06E44" w:rsidP="00B2112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-</w:t>
            </w:r>
            <w:r w:rsidR="00FE6E8B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9.58</w:t>
            </w:r>
            <w:r w:rsidR="007459A4" w:rsidRPr="007459A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A4" w:rsidRPr="007459A4" w:rsidRDefault="007459A4" w:rsidP="007459A4">
            <w:pPr>
              <w:spacing w:after="0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</w:p>
        </w:tc>
      </w:tr>
      <w:tr w:rsidR="007459A4" w:rsidRPr="007459A4" w:rsidTr="003818D3">
        <w:trPr>
          <w:trHeight w:val="55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7459A4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Administrativa </w:t>
            </w: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br/>
              <w:t>(Vehículos Fijos)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B21127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90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47584F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90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47584F" w:rsidP="00B2112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0</w:t>
            </w:r>
            <w:r w:rsidR="007459A4" w:rsidRPr="007459A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A4" w:rsidRPr="007459A4" w:rsidRDefault="007459A4" w:rsidP="007459A4">
            <w:pPr>
              <w:spacing w:after="0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</w:p>
        </w:tc>
      </w:tr>
      <w:tr w:rsidR="007459A4" w:rsidRPr="007459A4" w:rsidTr="003818D3">
        <w:trPr>
          <w:trHeight w:val="6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</w:pPr>
            <w:r w:rsidRPr="007459A4">
              <w:rPr>
                <w:rFonts w:ascii="Calibri" w:eastAsia="Times New Roman" w:hAnsi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Fondo de Reparación (Servicio prestado)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5570C6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99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A4" w:rsidRPr="007459A4" w:rsidRDefault="007459A4" w:rsidP="007459A4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459A4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121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A4" w:rsidRPr="007459A4" w:rsidRDefault="009D457C" w:rsidP="00B21127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22.22</w:t>
            </w:r>
            <w:r w:rsidR="007459A4" w:rsidRPr="007459A4"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  <w:t>%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A4" w:rsidRPr="007459A4" w:rsidRDefault="007459A4" w:rsidP="007459A4">
            <w:pPr>
              <w:spacing w:after="0"/>
              <w:rPr>
                <w:rFonts w:ascii="Century Gothic" w:eastAsia="Times New Roman" w:hAnsi="Century Gothic"/>
                <w:sz w:val="12"/>
                <w:szCs w:val="12"/>
                <w:lang w:val="es-CO" w:eastAsia="es-CO"/>
              </w:rPr>
            </w:pPr>
          </w:p>
        </w:tc>
      </w:tr>
    </w:tbl>
    <w:p w:rsidR="00436721" w:rsidRPr="00F577A0" w:rsidRDefault="00436721" w:rsidP="00436721">
      <w:pPr>
        <w:rPr>
          <w:lang w:val="es-CO" w:eastAsia="es-ES"/>
        </w:rPr>
      </w:pPr>
    </w:p>
    <w:p w:rsidR="00436721" w:rsidRPr="001369DA" w:rsidRDefault="00436721" w:rsidP="00436721">
      <w:pPr>
        <w:pStyle w:val="Ttulo1"/>
        <w:numPr>
          <w:ilvl w:val="1"/>
          <w:numId w:val="5"/>
        </w:numPr>
        <w:spacing w:before="0"/>
        <w:ind w:left="604"/>
        <w:rPr>
          <w:rFonts w:ascii="Century Gothic" w:hAnsi="Century Gothic"/>
          <w:b/>
          <w:color w:val="auto"/>
          <w:sz w:val="22"/>
          <w:szCs w:val="20"/>
        </w:rPr>
      </w:pPr>
      <w:r w:rsidRPr="001369DA">
        <w:rPr>
          <w:rFonts w:ascii="Century Gothic" w:hAnsi="Century Gothic"/>
          <w:b/>
          <w:color w:val="auto"/>
          <w:sz w:val="22"/>
          <w:szCs w:val="20"/>
        </w:rPr>
        <w:t>Inmuebles y Mantenimiento.</w:t>
      </w:r>
    </w:p>
    <w:p w:rsidR="00436721" w:rsidRDefault="00436721" w:rsidP="00436721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436721" w:rsidRDefault="00436721" w:rsidP="00436721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BF17DA">
        <w:rPr>
          <w:rFonts w:ascii="Century Gothic" w:hAnsi="Century Gothic" w:cs="Arial"/>
          <w:sz w:val="20"/>
          <w:szCs w:val="20"/>
          <w:lang w:val="es-CO" w:eastAsia="es-CO"/>
        </w:rPr>
        <w:t>Dando cumplimiento al Art. 20 del Capítulo IV del Decreto1737 de 1998 en temas relacionados en servicios administrativos – inmuebles y mantenimiento, se presenta a continuación la tabla donde se relaciona los pagos por cada concepto.</w:t>
      </w:r>
    </w:p>
    <w:p w:rsidR="00050B21" w:rsidRDefault="00050B21" w:rsidP="00436721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50B21" w:rsidRDefault="00050B21" w:rsidP="00436721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50B21" w:rsidRDefault="00050B21" w:rsidP="00436721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50B21" w:rsidRDefault="00050B21" w:rsidP="00436721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436721" w:rsidRDefault="00436721" w:rsidP="00436721">
      <w:pPr>
        <w:spacing w:after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tbl>
      <w:tblPr>
        <w:tblW w:w="992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175"/>
        <w:gridCol w:w="1175"/>
        <w:gridCol w:w="1517"/>
        <w:gridCol w:w="4678"/>
      </w:tblGrid>
      <w:tr w:rsidR="000A1251" w:rsidRPr="000A1251" w:rsidTr="008C6F49">
        <w:trPr>
          <w:trHeight w:val="300"/>
        </w:trPr>
        <w:tc>
          <w:tcPr>
            <w:tcW w:w="5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251" w:rsidRPr="000A1251" w:rsidRDefault="000A1251" w:rsidP="000A125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Aspectos cuantitativos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251" w:rsidRPr="000A1251" w:rsidRDefault="000A1251" w:rsidP="000A125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Aspectos cualitativos</w:t>
            </w:r>
          </w:p>
        </w:tc>
      </w:tr>
      <w:tr w:rsidR="000A1251" w:rsidRPr="008F20A5" w:rsidTr="008C6F49">
        <w:trPr>
          <w:trHeight w:val="14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51" w:rsidRPr="000A1251" w:rsidRDefault="000A1251" w:rsidP="000A125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Concepto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51" w:rsidRPr="000A1251" w:rsidRDefault="000A1251" w:rsidP="000A125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Valor pagado entre octubre - diciembre vigencia 201</w:t>
            </w:r>
            <w:r w:rsidR="00AE1F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51" w:rsidRPr="000A1251" w:rsidRDefault="000A1251" w:rsidP="000A125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Valor pagado entre octubre - diciembre vigencia 2017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51" w:rsidRPr="000A1251" w:rsidRDefault="000A1251" w:rsidP="000A125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% </w:t>
            </w:r>
            <w:r w:rsidR="008C6F49"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Variación</w:t>
            </w: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del valor pagado entre</w:t>
            </w:r>
            <w:r w:rsidR="008C6F49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octubre - diciembre de 2017 respecto al mismo periodo de la vigencia 201</w:t>
            </w:r>
            <w:r w:rsidR="00AE1F32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251" w:rsidRDefault="003A0B8B" w:rsidP="000A125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Se evidencia un incr</w:t>
            </w:r>
            <w:r w:rsidR="00991D69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e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mento </w:t>
            </w:r>
            <w:r w:rsid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$</w:t>
            </w:r>
            <w:r w:rsidR="008D4A80" w:rsidRP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</w:t>
            </w:r>
            <w:r w:rsid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="008D4A80" w:rsidRP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149</w:t>
            </w:r>
            <w:r w:rsid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="008D4A80" w:rsidRP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232</w:t>
            </w:r>
            <w:r w:rsid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.</w:t>
            </w:r>
            <w:r w:rsidR="008D4A80" w:rsidRP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788</w:t>
            </w:r>
            <w:r w:rsid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0A1251" w:rsidRPr="000A125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de 0,8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4</w:t>
            </w:r>
            <w:r w:rsidR="000A1251" w:rsidRPr="000A125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 respecto a la vigencia anterior</w:t>
            </w:r>
            <w:r w:rsidR="009809C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;</w:t>
            </w:r>
            <w:r w:rsidR="000A1251" w:rsidRPr="000A125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para el mes de diciembre de 201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</w:t>
            </w:r>
            <w:r w:rsid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se </w:t>
            </w:r>
            <w:r w:rsidR="008F20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presentó</w:t>
            </w:r>
            <w:r w:rsidR="008D4A80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el pago por el cambio de sede </w:t>
            </w:r>
            <w:r w:rsidR="008F20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al Complejo Industrial San Cayetano</w:t>
            </w:r>
            <w:r w:rsidR="00050B2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8F20A5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por valor de $831.831.125, con el propósito de reunir la Unidad en un solo sitio de operaciones para un mejor resultado en su gestión. </w:t>
            </w:r>
          </w:p>
          <w:p w:rsidR="008F20A5" w:rsidRPr="000A1251" w:rsidRDefault="008F20A5" w:rsidP="000A1251">
            <w:pPr>
              <w:spacing w:after="0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A diciembre 31 de 2.018 se dieron por terminados </w:t>
            </w:r>
            <w:r w:rsidR="009809C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13 contratos de arriendo de las oficinas que se encontraban en diferentes sitios y oficinas del centro de la ciudad de Bogotá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9809C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D.C.</w:t>
            </w:r>
          </w:p>
        </w:tc>
      </w:tr>
      <w:tr w:rsidR="000A1251" w:rsidRPr="000A1251" w:rsidTr="00A525EF">
        <w:trPr>
          <w:trHeight w:val="65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51" w:rsidRPr="000A1251" w:rsidRDefault="000A1251" w:rsidP="000A125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Arr</w:t>
            </w:r>
            <w:r w:rsidR="008C6F49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endamientos bienes inmuebles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51" w:rsidRPr="000A1251" w:rsidRDefault="00AE1F32" w:rsidP="00AE1F32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2.507.123.584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51" w:rsidRPr="000A1251" w:rsidRDefault="000A1251" w:rsidP="00AE1F32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1.357.890.796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51" w:rsidRPr="000A1251" w:rsidRDefault="000A1251" w:rsidP="00AE1F32">
            <w:pPr>
              <w:spacing w:after="0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0,</w:t>
            </w:r>
            <w:r w:rsidR="00AE1F32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84</w:t>
            </w:r>
            <w:r w:rsidRPr="000A1251"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  <w:t>%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51" w:rsidRPr="000A1251" w:rsidRDefault="000A1251" w:rsidP="000A1251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A1251" w:rsidRPr="000A1251" w:rsidTr="00A525EF">
        <w:trPr>
          <w:trHeight w:val="28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51" w:rsidRPr="000A1251" w:rsidRDefault="000A1251" w:rsidP="000A125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TOTALES $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51" w:rsidRPr="000A1251" w:rsidRDefault="00AE1F32" w:rsidP="00AE1F3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2.507123.584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51" w:rsidRPr="000A1251" w:rsidRDefault="000A1251" w:rsidP="00AE1F3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1.357.890.796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51" w:rsidRPr="000A1251" w:rsidRDefault="000A1251" w:rsidP="00AE1F32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1251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val="es-CO" w:eastAsia="es-CO"/>
              </w:rPr>
              <w:t>N/A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1251" w:rsidRPr="000A1251" w:rsidRDefault="000A1251" w:rsidP="000A1251">
            <w:pPr>
              <w:spacing w:after="0"/>
              <w:rPr>
                <w:rFonts w:ascii="Century Gothic" w:eastAsia="Times New Roman" w:hAnsi="Century Gothic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436721" w:rsidRDefault="00436721" w:rsidP="00436721">
      <w:pPr>
        <w:pStyle w:val="Ttulo1"/>
        <w:rPr>
          <w:rFonts w:ascii="Century Gothic" w:hAnsi="Century Gothic"/>
          <w:sz w:val="20"/>
          <w:szCs w:val="20"/>
        </w:rPr>
      </w:pPr>
    </w:p>
    <w:p w:rsidR="00436721" w:rsidRPr="001369DA" w:rsidRDefault="00436721" w:rsidP="00436721">
      <w:pPr>
        <w:pStyle w:val="Ttulo1"/>
        <w:numPr>
          <w:ilvl w:val="1"/>
          <w:numId w:val="5"/>
        </w:numPr>
        <w:spacing w:before="0"/>
        <w:ind w:left="746"/>
        <w:rPr>
          <w:rFonts w:ascii="Century Gothic" w:hAnsi="Century Gothic"/>
          <w:b/>
          <w:color w:val="auto"/>
          <w:sz w:val="22"/>
          <w:szCs w:val="20"/>
        </w:rPr>
      </w:pPr>
      <w:r w:rsidRPr="001369DA">
        <w:rPr>
          <w:rFonts w:ascii="Century Gothic" w:hAnsi="Century Gothic"/>
          <w:b/>
          <w:color w:val="auto"/>
          <w:sz w:val="22"/>
          <w:szCs w:val="20"/>
        </w:rPr>
        <w:t>Otros temas relacionados con servicios administrativos.</w:t>
      </w:r>
    </w:p>
    <w:p w:rsidR="00436721" w:rsidRPr="00BF17DA" w:rsidRDefault="00436721" w:rsidP="00436721">
      <w:pPr>
        <w:pStyle w:val="Ttulo2"/>
        <w:rPr>
          <w:rFonts w:ascii="Century Gothic" w:hAnsi="Century Gothic"/>
          <w:szCs w:val="20"/>
        </w:rPr>
      </w:pPr>
    </w:p>
    <w:p w:rsidR="00436721" w:rsidRPr="005B6D72" w:rsidRDefault="00436721" w:rsidP="00436721">
      <w:pPr>
        <w:jc w:val="both"/>
        <w:rPr>
          <w:rFonts w:ascii="Century Gothic" w:hAnsi="Century Gothic" w:cs="Arial"/>
          <w:bCs/>
          <w:sz w:val="20"/>
          <w:szCs w:val="20"/>
          <w:lang w:val="es-MX" w:eastAsia="es-MX"/>
        </w:rPr>
      </w:pPr>
      <w:r w:rsidRPr="00241E5B"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1CEB8D32" wp14:editId="13947223">
            <wp:simplePos x="0" y="0"/>
            <wp:positionH relativeFrom="margin">
              <wp:posOffset>-243205</wp:posOffset>
            </wp:positionH>
            <wp:positionV relativeFrom="paragraph">
              <wp:posOffset>902970</wp:posOffset>
            </wp:positionV>
            <wp:extent cx="6553200" cy="1923415"/>
            <wp:effectExtent l="0" t="0" r="0" b="635"/>
            <wp:wrapTight wrapText="bothSides">
              <wp:wrapPolygon edited="0">
                <wp:start x="753" y="0"/>
                <wp:lineTo x="63" y="428"/>
                <wp:lineTo x="0" y="1711"/>
                <wp:lineTo x="251" y="3423"/>
                <wp:lineTo x="0" y="5562"/>
                <wp:lineTo x="0" y="5776"/>
                <wp:lineTo x="753" y="6846"/>
                <wp:lineTo x="0" y="7060"/>
                <wp:lineTo x="0" y="9841"/>
                <wp:lineTo x="753" y="10269"/>
                <wp:lineTo x="0" y="11338"/>
                <wp:lineTo x="0" y="13692"/>
                <wp:lineTo x="753" y="13692"/>
                <wp:lineTo x="251" y="14975"/>
                <wp:lineTo x="251" y="15403"/>
                <wp:lineTo x="753" y="17115"/>
                <wp:lineTo x="0" y="17115"/>
                <wp:lineTo x="0" y="18612"/>
                <wp:lineTo x="753" y="20537"/>
                <wp:lineTo x="0" y="20965"/>
                <wp:lineTo x="0" y="21393"/>
                <wp:lineTo x="21537" y="21393"/>
                <wp:lineTo x="21537" y="0"/>
                <wp:lineTo x="753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7DA">
        <w:rPr>
          <w:rFonts w:ascii="Century Gothic" w:hAnsi="Century Gothic" w:cs="Arial"/>
          <w:bCs/>
          <w:sz w:val="20"/>
          <w:szCs w:val="20"/>
          <w:lang w:val="es-MX" w:eastAsia="es-MX"/>
        </w:rPr>
        <w:t>A continuación, se relaciona los temas relacionados en l</w:t>
      </w:r>
      <w:r w:rsidR="008C6F49">
        <w:rPr>
          <w:rFonts w:ascii="Century Gothic" w:hAnsi="Century Gothic" w:cs="Arial"/>
          <w:bCs/>
          <w:sz w:val="20"/>
          <w:szCs w:val="20"/>
          <w:lang w:val="es-MX" w:eastAsia="es-MX"/>
        </w:rPr>
        <w:t xml:space="preserve">a norma como son celebraciones, </w:t>
      </w:r>
      <w:r w:rsidRPr="00BF17DA">
        <w:rPr>
          <w:rFonts w:ascii="Century Gothic" w:hAnsi="Century Gothic" w:cs="Arial"/>
          <w:bCs/>
          <w:sz w:val="20"/>
          <w:szCs w:val="20"/>
          <w:lang w:val="es-MX" w:eastAsia="es-MX"/>
        </w:rPr>
        <w:t>conmemoraciones, agasajos públicos, gastos suntuarios y tarjetas de crédito. Las extensiones telefónicas tienen código o clave y los permisos a llamadas a celulares o exterior. En temas relacionados a papelería, erogaciones para afiliación clubes sociales, pagos por acciones, inscripciones, cuotas de sostenimiento o gastos para recepciones, invitaciones.</w:t>
      </w:r>
    </w:p>
    <w:p w:rsidR="00436721" w:rsidRDefault="00436721" w:rsidP="00436721">
      <w:pPr>
        <w:pStyle w:val="Ttulo1"/>
        <w:numPr>
          <w:ilvl w:val="0"/>
          <w:numId w:val="5"/>
        </w:numPr>
        <w:spacing w:before="480"/>
        <w:ind w:left="746"/>
        <w:rPr>
          <w:rFonts w:ascii="Century Gothic" w:hAnsi="Century Gothic"/>
          <w:b/>
          <w:color w:val="auto"/>
          <w:sz w:val="24"/>
          <w:szCs w:val="20"/>
        </w:rPr>
      </w:pPr>
      <w:r w:rsidRPr="001D6335">
        <w:rPr>
          <w:rFonts w:ascii="Century Gothic" w:hAnsi="Century Gothic"/>
          <w:b/>
          <w:color w:val="auto"/>
          <w:sz w:val="24"/>
          <w:szCs w:val="20"/>
        </w:rPr>
        <w:t>CONCILIACIONES JUDICIALES Y OTRAS SOLUCIONES ALTERNATIVAS DE CONFLICTO.</w:t>
      </w:r>
    </w:p>
    <w:p w:rsidR="00050B21" w:rsidRPr="00050B21" w:rsidRDefault="00050B21" w:rsidP="00050B21"/>
    <w:p w:rsidR="00436721" w:rsidRDefault="00436721" w:rsidP="00436721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BF17DA">
        <w:rPr>
          <w:rFonts w:ascii="Century Gothic" w:hAnsi="Century Gothic" w:cs="Arial"/>
          <w:sz w:val="20"/>
          <w:szCs w:val="20"/>
          <w:lang w:val="es-CO" w:eastAsia="es-CO"/>
        </w:rPr>
        <w:t>Dando cumplimiento al Art. 6 Decreto 26 de 1998 en temas relacionados en conciliaciones judiciales y otras soluciones alternativas de conflicto, se presenta a continuación la tabla donde se relaciona los pagos por cada concepto y una breve explicación de la dependencia.</w:t>
      </w:r>
    </w:p>
    <w:p w:rsidR="00050B21" w:rsidRDefault="00050B21" w:rsidP="00436721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50B21" w:rsidRDefault="00050B21" w:rsidP="00436721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50B21" w:rsidRDefault="00050B21" w:rsidP="00436721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50B21" w:rsidRDefault="00050B21" w:rsidP="00436721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tbl>
      <w:tblPr>
        <w:tblStyle w:val="Tablaconcuadrcula"/>
        <w:tblW w:w="9858" w:type="dxa"/>
        <w:tblLayout w:type="fixed"/>
        <w:tblLook w:val="04A0" w:firstRow="1" w:lastRow="0" w:firstColumn="1" w:lastColumn="0" w:noHBand="0" w:noVBand="1"/>
      </w:tblPr>
      <w:tblGrid>
        <w:gridCol w:w="1333"/>
        <w:gridCol w:w="1690"/>
        <w:gridCol w:w="1690"/>
        <w:gridCol w:w="1126"/>
        <w:gridCol w:w="1126"/>
        <w:gridCol w:w="1126"/>
        <w:gridCol w:w="1767"/>
      </w:tblGrid>
      <w:tr w:rsidR="00436721" w:rsidRPr="00F142B7" w:rsidTr="00E17E1D">
        <w:trPr>
          <w:trHeight w:val="139"/>
        </w:trPr>
        <w:tc>
          <w:tcPr>
            <w:tcW w:w="9858" w:type="dxa"/>
            <w:gridSpan w:val="7"/>
            <w:noWrap/>
            <w:vAlign w:val="center"/>
            <w:hideMark/>
          </w:tcPr>
          <w:p w:rsidR="00436721" w:rsidRPr="00F142B7" w:rsidRDefault="00436721" w:rsidP="005A370C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lastRenderedPageBreak/>
              <w:t xml:space="preserve">Datos del </w:t>
            </w:r>
            <w:r w:rsidR="008C6F4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4to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trimestre año 201</w:t>
            </w:r>
            <w:r w:rsidR="00E17E1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</w:tr>
      <w:tr w:rsidR="00436721" w:rsidRPr="00CB7545" w:rsidTr="00E17E1D">
        <w:trPr>
          <w:trHeight w:val="253"/>
        </w:trPr>
        <w:tc>
          <w:tcPr>
            <w:tcW w:w="1333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Tipo de Acción o medios de control (Demandas)</w:t>
            </w:r>
          </w:p>
        </w:tc>
        <w:tc>
          <w:tcPr>
            <w:tcW w:w="1690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Tipo de Conciliación (Formas de solución de conflicto)</w:t>
            </w:r>
          </w:p>
        </w:tc>
        <w:tc>
          <w:tcPr>
            <w:tcW w:w="1690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Convocante</w:t>
            </w:r>
          </w:p>
        </w:tc>
        <w:tc>
          <w:tcPr>
            <w:tcW w:w="1126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Fecha Acordado</w:t>
            </w:r>
          </w:p>
        </w:tc>
        <w:tc>
          <w:tcPr>
            <w:tcW w:w="1126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Acordado</w:t>
            </w:r>
          </w:p>
        </w:tc>
        <w:tc>
          <w:tcPr>
            <w:tcW w:w="1126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Fecha de pago</w:t>
            </w:r>
          </w:p>
        </w:tc>
        <w:tc>
          <w:tcPr>
            <w:tcW w:w="1767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Pagado</w:t>
            </w:r>
          </w:p>
        </w:tc>
      </w:tr>
      <w:tr w:rsidR="00436721" w:rsidRPr="00F142B7" w:rsidTr="00E17E1D">
        <w:trPr>
          <w:trHeight w:val="464"/>
        </w:trPr>
        <w:tc>
          <w:tcPr>
            <w:tcW w:w="9858" w:type="dxa"/>
            <w:gridSpan w:val="7"/>
            <w:hideMark/>
          </w:tcPr>
          <w:p w:rsidR="00436721" w:rsidRDefault="00436721" w:rsidP="00E17E1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47740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s-CO" w:eastAsia="es-CO"/>
              </w:rPr>
              <w:t>Información enviada por el proceso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s-CO" w:eastAsia="es-CO"/>
              </w:rPr>
              <w:t>:</w:t>
            </w:r>
          </w:p>
          <w:p w:rsidR="00436721" w:rsidRPr="00F142B7" w:rsidRDefault="00436721" w:rsidP="00E17E1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Durante el periodo comprendido en el </w:t>
            </w:r>
            <w:r w:rsidR="008C6F49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cuarto</w:t>
            </w:r>
            <w:r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 </w:t>
            </w: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trimestre del año 2016, no se presentó ningún acuerdo conciliatorio por parte de la Unidad para la Atención y Reparación Integral a las Víctimas.</w:t>
            </w:r>
          </w:p>
        </w:tc>
      </w:tr>
    </w:tbl>
    <w:p w:rsidR="00436721" w:rsidRDefault="00436721" w:rsidP="00436721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9873" w:type="dxa"/>
        <w:tblLayout w:type="fixed"/>
        <w:tblLook w:val="04A0" w:firstRow="1" w:lastRow="0" w:firstColumn="1" w:lastColumn="0" w:noHBand="0" w:noVBand="1"/>
      </w:tblPr>
      <w:tblGrid>
        <w:gridCol w:w="1336"/>
        <w:gridCol w:w="1693"/>
        <w:gridCol w:w="1693"/>
        <w:gridCol w:w="1128"/>
        <w:gridCol w:w="1128"/>
        <w:gridCol w:w="1128"/>
        <w:gridCol w:w="1767"/>
      </w:tblGrid>
      <w:tr w:rsidR="00436721" w:rsidRPr="00F142B7" w:rsidTr="00E17E1D">
        <w:trPr>
          <w:trHeight w:val="226"/>
        </w:trPr>
        <w:tc>
          <w:tcPr>
            <w:tcW w:w="9873" w:type="dxa"/>
            <w:gridSpan w:val="7"/>
            <w:noWrap/>
            <w:vAlign w:val="center"/>
            <w:hideMark/>
          </w:tcPr>
          <w:p w:rsidR="00436721" w:rsidRPr="00F142B7" w:rsidRDefault="00436721" w:rsidP="005A370C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Datos del </w:t>
            </w:r>
            <w:r w:rsidR="008C6F49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4to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trimestre año 201</w:t>
            </w:r>
            <w:r w:rsidR="00E17E1D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</w:tr>
      <w:tr w:rsidR="00436721" w:rsidRPr="00CB7545" w:rsidTr="00E17E1D">
        <w:trPr>
          <w:trHeight w:val="550"/>
        </w:trPr>
        <w:tc>
          <w:tcPr>
            <w:tcW w:w="1336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Tipo de Acción o medios de control (Demandas)</w:t>
            </w:r>
          </w:p>
        </w:tc>
        <w:tc>
          <w:tcPr>
            <w:tcW w:w="1693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Tipo de Conciliación (Formas de solución de conflicto)</w:t>
            </w:r>
          </w:p>
        </w:tc>
        <w:tc>
          <w:tcPr>
            <w:tcW w:w="1693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Convocante</w:t>
            </w:r>
          </w:p>
        </w:tc>
        <w:tc>
          <w:tcPr>
            <w:tcW w:w="1128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Fecha Acordado</w:t>
            </w:r>
          </w:p>
        </w:tc>
        <w:tc>
          <w:tcPr>
            <w:tcW w:w="1128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Acordado</w:t>
            </w:r>
          </w:p>
        </w:tc>
        <w:tc>
          <w:tcPr>
            <w:tcW w:w="1128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Fecha de pago</w:t>
            </w:r>
          </w:p>
        </w:tc>
        <w:tc>
          <w:tcPr>
            <w:tcW w:w="1767" w:type="dxa"/>
            <w:vAlign w:val="center"/>
            <w:hideMark/>
          </w:tcPr>
          <w:p w:rsidR="00436721" w:rsidRPr="00F142B7" w:rsidRDefault="00436721" w:rsidP="005A370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F142B7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  <w:lang w:val="es-CO" w:eastAsia="es-CO"/>
              </w:rPr>
              <w:t>Valor Pagado</w:t>
            </w:r>
          </w:p>
        </w:tc>
      </w:tr>
      <w:tr w:rsidR="00436721" w:rsidRPr="00F142B7" w:rsidTr="00E17E1D">
        <w:trPr>
          <w:trHeight w:val="464"/>
        </w:trPr>
        <w:tc>
          <w:tcPr>
            <w:tcW w:w="9873" w:type="dxa"/>
            <w:gridSpan w:val="7"/>
            <w:hideMark/>
          </w:tcPr>
          <w:p w:rsidR="00436721" w:rsidRDefault="00436721" w:rsidP="00E17E1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47740"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s-CO" w:eastAsia="es-CO"/>
              </w:rPr>
              <w:t>Información enviada por el proceso</w:t>
            </w:r>
            <w:r>
              <w:rPr>
                <w:rFonts w:ascii="Century Gothic" w:eastAsia="Times New Roman" w:hAnsi="Century Gothic"/>
                <w:b/>
                <w:bCs/>
                <w:sz w:val="16"/>
                <w:szCs w:val="16"/>
                <w:lang w:val="es-CO" w:eastAsia="es-CO"/>
              </w:rPr>
              <w:t>:</w:t>
            </w:r>
          </w:p>
          <w:p w:rsidR="00436721" w:rsidRPr="00F142B7" w:rsidRDefault="00436721" w:rsidP="00E17E1D">
            <w:pPr>
              <w:spacing w:after="0"/>
              <w:rPr>
                <w:rFonts w:ascii="Century Gothic" w:eastAsia="Times New Roman" w:hAnsi="Century Gothic"/>
                <w:color w:val="000000"/>
                <w:sz w:val="14"/>
                <w:szCs w:val="14"/>
                <w:lang w:val="es-CO" w:eastAsia="es-CO"/>
              </w:rPr>
            </w:pP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Durante el periodo comprendido en el </w:t>
            </w:r>
            <w:r w:rsidR="008C6F49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cuarto</w:t>
            </w:r>
            <w:r w:rsidR="008C6F49"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 xml:space="preserve"> </w:t>
            </w: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trimestre del año 201</w:t>
            </w:r>
            <w:r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7</w:t>
            </w:r>
            <w:r w:rsidRPr="00F841BB">
              <w:rPr>
                <w:rFonts w:ascii="Century Gothic" w:eastAsia="Times New Roman" w:hAnsi="Century Gothic"/>
                <w:sz w:val="14"/>
                <w:szCs w:val="16"/>
                <w:lang w:val="es-CO" w:eastAsia="es-CO"/>
              </w:rPr>
              <w:t>, no se presentó ningún acuerdo conciliatorio por parte de la Unidad para la Atención y Reparación Integral a las Víctimas.</w:t>
            </w:r>
          </w:p>
        </w:tc>
      </w:tr>
    </w:tbl>
    <w:p w:rsidR="00436721" w:rsidRDefault="00436721" w:rsidP="00436721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36721" w:rsidTr="005A370C"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436721" w:rsidRPr="001369DA" w:rsidRDefault="00436721" w:rsidP="00436721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95069">
              <w:rPr>
                <w:rFonts w:ascii="Arial" w:hAnsi="Arial" w:cs="Arial"/>
                <w:b/>
                <w:sz w:val="20"/>
                <w:szCs w:val="20"/>
              </w:rPr>
              <w:t>CONCLUSIONES Y/O RECOMENDACIONES.</w:t>
            </w:r>
          </w:p>
        </w:tc>
      </w:tr>
    </w:tbl>
    <w:p w:rsidR="00436721" w:rsidRDefault="00436721" w:rsidP="00436721">
      <w:pPr>
        <w:spacing w:after="0"/>
        <w:rPr>
          <w:rFonts w:ascii="Arial Narrow" w:hAnsi="Arial Narrow"/>
          <w:b/>
        </w:rPr>
      </w:pPr>
    </w:p>
    <w:p w:rsidR="006F2861" w:rsidRDefault="006F2861" w:rsidP="006F2861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pesar de que</w:t>
      </w:r>
      <w:r w:rsidR="0058653B">
        <w:rPr>
          <w:rFonts w:ascii="Century Gothic" w:hAnsi="Century Gothic" w:cs="Arial"/>
          <w:sz w:val="20"/>
          <w:szCs w:val="20"/>
        </w:rPr>
        <w:t xml:space="preserve"> el personal de planta contratado </w:t>
      </w:r>
      <w:r>
        <w:rPr>
          <w:rFonts w:ascii="Century Gothic" w:hAnsi="Century Gothic" w:cs="Arial"/>
          <w:sz w:val="20"/>
          <w:szCs w:val="20"/>
        </w:rPr>
        <w:t xml:space="preserve">durante el año 2018 </w:t>
      </w:r>
      <w:r w:rsidR="0058653B">
        <w:rPr>
          <w:rFonts w:ascii="Century Gothic" w:hAnsi="Century Gothic" w:cs="Arial"/>
          <w:sz w:val="20"/>
          <w:szCs w:val="20"/>
        </w:rPr>
        <w:t xml:space="preserve">disminuye en </w:t>
      </w:r>
      <w:r>
        <w:rPr>
          <w:rFonts w:ascii="Century Gothic" w:hAnsi="Century Gothic" w:cs="Arial"/>
          <w:sz w:val="20"/>
          <w:szCs w:val="20"/>
        </w:rPr>
        <w:t>el 2.72%, el valor total cancelado por nomina se incrementa en el 8.79%.</w:t>
      </w:r>
    </w:p>
    <w:p w:rsidR="006F2861" w:rsidRPr="006F2861" w:rsidRDefault="006F2861" w:rsidP="006F2861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</w:p>
    <w:p w:rsidR="006F2861" w:rsidRPr="00C24E04" w:rsidRDefault="006F2861" w:rsidP="00C24E04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6F2861">
        <w:rPr>
          <w:rFonts w:ascii="Century Gothic" w:hAnsi="Century Gothic" w:cs="Arial"/>
          <w:sz w:val="20"/>
          <w:szCs w:val="20"/>
        </w:rPr>
        <w:t>La Unidad a la fecha del presente informe cuenta con una disponibilidad de 72 cargos para cubrir durante el año 2019 a nivel nacional</w:t>
      </w:r>
      <w:r>
        <w:rPr>
          <w:rFonts w:ascii="Century Gothic" w:hAnsi="Century Gothic" w:cs="Arial"/>
          <w:sz w:val="20"/>
          <w:szCs w:val="20"/>
        </w:rPr>
        <w:t>.</w:t>
      </w:r>
      <w:r w:rsidRPr="00C24E04">
        <w:rPr>
          <w:rFonts w:ascii="Century Gothic" w:hAnsi="Century Gothic" w:cs="Arial"/>
          <w:sz w:val="20"/>
          <w:szCs w:val="20"/>
        </w:rPr>
        <w:t xml:space="preserve"> </w:t>
      </w:r>
    </w:p>
    <w:p w:rsidR="0058653B" w:rsidRDefault="006F2861" w:rsidP="006F2861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:rsidR="00436721" w:rsidRDefault="00436721" w:rsidP="00436721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Se solicita continuar con la ejecución de las medidas de control y seguimiento frente a los rubros </w:t>
      </w:r>
      <w:r w:rsidRPr="00664918">
        <w:rPr>
          <w:rFonts w:ascii="Century Gothic" w:hAnsi="Century Gothic" w:cs="Arial"/>
          <w:sz w:val="20"/>
          <w:szCs w:val="20"/>
        </w:rPr>
        <w:t xml:space="preserve">de </w:t>
      </w:r>
      <w:r w:rsidR="00C24E04">
        <w:rPr>
          <w:rFonts w:ascii="Century Gothic" w:hAnsi="Century Gothic" w:cs="Arial"/>
          <w:sz w:val="20"/>
          <w:szCs w:val="20"/>
        </w:rPr>
        <w:t>inversión</w:t>
      </w:r>
      <w:r w:rsidR="008C6F49">
        <w:rPr>
          <w:rFonts w:ascii="Century Gothic" w:hAnsi="Century Gothic" w:cs="Arial"/>
          <w:sz w:val="20"/>
          <w:szCs w:val="20"/>
        </w:rPr>
        <w:t xml:space="preserve"> para la vigencia 201</w:t>
      </w:r>
      <w:r w:rsidR="00C24E04">
        <w:rPr>
          <w:rFonts w:ascii="Century Gothic" w:hAnsi="Century Gothic" w:cs="Arial"/>
          <w:sz w:val="20"/>
          <w:szCs w:val="20"/>
        </w:rPr>
        <w:t>9</w:t>
      </w:r>
      <w:r>
        <w:rPr>
          <w:rFonts w:ascii="Century Gothic" w:hAnsi="Century Gothic" w:cs="Arial"/>
          <w:sz w:val="20"/>
          <w:szCs w:val="20"/>
        </w:rPr>
        <w:t>.</w:t>
      </w:r>
    </w:p>
    <w:p w:rsidR="00436721" w:rsidRPr="00E43F03" w:rsidRDefault="00436721" w:rsidP="00436721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</w:p>
    <w:p w:rsidR="00436721" w:rsidRDefault="00436721" w:rsidP="00436721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E43F03">
        <w:rPr>
          <w:rFonts w:ascii="Century Gothic" w:hAnsi="Century Gothic" w:cs="Arial"/>
          <w:sz w:val="20"/>
          <w:szCs w:val="20"/>
        </w:rPr>
        <w:t xml:space="preserve">Dar cumplimiento a las instrucciones de la directiva presidencial 01 de 2016 en materia de reducción de gastos generales, </w:t>
      </w:r>
      <w:r>
        <w:rPr>
          <w:rFonts w:ascii="Century Gothic" w:hAnsi="Century Gothic" w:cs="Arial"/>
          <w:sz w:val="20"/>
          <w:szCs w:val="20"/>
        </w:rPr>
        <w:t>se debe</w:t>
      </w:r>
      <w:r w:rsidRPr="00E43F03">
        <w:rPr>
          <w:rFonts w:ascii="Century Gothic" w:hAnsi="Century Gothic" w:cs="Arial"/>
          <w:sz w:val="20"/>
          <w:szCs w:val="20"/>
        </w:rPr>
        <w:t xml:space="preserve"> promover acciones estratégicas e innovadoras para alcanzar ahorros significativos en los gastos de funcionamiento de la Unidad</w:t>
      </w:r>
      <w:r>
        <w:rPr>
          <w:rFonts w:ascii="Century Gothic" w:hAnsi="Century Gothic" w:cs="Arial"/>
          <w:sz w:val="20"/>
          <w:szCs w:val="20"/>
        </w:rPr>
        <w:t>.</w:t>
      </w:r>
    </w:p>
    <w:p w:rsidR="00CF3BBA" w:rsidRPr="00CF3BBA" w:rsidRDefault="00CF3BBA" w:rsidP="00CF3BBA">
      <w:pPr>
        <w:pStyle w:val="Prrafodelista"/>
        <w:rPr>
          <w:rFonts w:ascii="Century Gothic" w:hAnsi="Century Gothic" w:cs="Arial"/>
          <w:sz w:val="20"/>
          <w:szCs w:val="20"/>
        </w:rPr>
      </w:pPr>
    </w:p>
    <w:p w:rsidR="00CF3BBA" w:rsidRDefault="0081523E" w:rsidP="00436721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sz w:val="20"/>
          <w:szCs w:val="20"/>
        </w:rPr>
      </w:pPr>
      <w:r w:rsidRPr="0081523E">
        <w:rPr>
          <w:rFonts w:ascii="Century Gothic" w:hAnsi="Century Gothic" w:cs="Arial"/>
          <w:sz w:val="20"/>
          <w:szCs w:val="20"/>
        </w:rPr>
        <w:t xml:space="preserve">Sensibilizar y </w:t>
      </w:r>
      <w:r>
        <w:rPr>
          <w:rFonts w:ascii="Century Gothic" w:hAnsi="Century Gothic" w:cs="Arial"/>
          <w:sz w:val="20"/>
          <w:szCs w:val="20"/>
        </w:rPr>
        <w:t>f</w:t>
      </w:r>
      <w:r w:rsidRPr="0081523E">
        <w:rPr>
          <w:rFonts w:ascii="Century Gothic" w:hAnsi="Century Gothic" w:cs="Arial"/>
          <w:sz w:val="20"/>
          <w:szCs w:val="20"/>
        </w:rPr>
        <w:t xml:space="preserve">omentar a la población de la Unidad sobre el </w:t>
      </w:r>
      <w:r>
        <w:rPr>
          <w:rFonts w:ascii="Century Gothic" w:hAnsi="Century Gothic" w:cs="Arial"/>
          <w:sz w:val="20"/>
          <w:szCs w:val="20"/>
        </w:rPr>
        <w:t>u</w:t>
      </w:r>
      <w:r w:rsidRPr="0081523E">
        <w:rPr>
          <w:rFonts w:ascii="Century Gothic" w:hAnsi="Century Gothic" w:cs="Arial"/>
          <w:sz w:val="20"/>
          <w:szCs w:val="20"/>
        </w:rPr>
        <w:t>so eficiente y ahorro de los recursos de la Entidad</w:t>
      </w:r>
      <w:r>
        <w:rPr>
          <w:rFonts w:ascii="Century Gothic" w:hAnsi="Century Gothic" w:cs="Arial"/>
          <w:sz w:val="20"/>
          <w:szCs w:val="20"/>
        </w:rPr>
        <w:t>.</w:t>
      </w:r>
    </w:p>
    <w:p w:rsidR="00436721" w:rsidRDefault="00436721" w:rsidP="00436721">
      <w:pPr>
        <w:pStyle w:val="Prrafodelista"/>
        <w:rPr>
          <w:rFonts w:ascii="Century Gothic" w:hAnsi="Century Gothic" w:cs="Arial"/>
          <w:sz w:val="20"/>
          <w:szCs w:val="20"/>
        </w:rPr>
      </w:pPr>
    </w:p>
    <w:p w:rsidR="00050B21" w:rsidRDefault="00050B21" w:rsidP="00436721">
      <w:pPr>
        <w:pStyle w:val="Prrafodelista"/>
        <w:rPr>
          <w:rFonts w:ascii="Century Gothic" w:hAnsi="Century Gothic" w:cs="Arial"/>
          <w:sz w:val="20"/>
          <w:szCs w:val="20"/>
        </w:rPr>
      </w:pPr>
    </w:p>
    <w:p w:rsidR="00A917C1" w:rsidRDefault="00A917C1" w:rsidP="00436721">
      <w:pPr>
        <w:pStyle w:val="Prrafodelista"/>
        <w:rPr>
          <w:rFonts w:ascii="Century Gothic" w:hAnsi="Century Gothic" w:cs="Arial"/>
          <w:sz w:val="20"/>
          <w:szCs w:val="20"/>
        </w:rPr>
      </w:pPr>
    </w:p>
    <w:p w:rsidR="00E17E1D" w:rsidRPr="00A3797D" w:rsidRDefault="00A3797D" w:rsidP="00A3797D">
      <w:pPr>
        <w:spacing w:after="0"/>
        <w:rPr>
          <w:rFonts w:ascii="Arial" w:hAnsi="Arial" w:cs="Arial"/>
          <w:b/>
          <w:sz w:val="20"/>
          <w:szCs w:val="20"/>
        </w:rPr>
      </w:pPr>
      <w:r w:rsidRPr="00A3797D">
        <w:rPr>
          <w:rFonts w:ascii="Arial" w:hAnsi="Arial" w:cs="Arial"/>
          <w:b/>
          <w:sz w:val="20"/>
          <w:szCs w:val="20"/>
        </w:rPr>
        <w:t>APROBO ________________________________</w:t>
      </w:r>
    </w:p>
    <w:p w:rsidR="00A3797D" w:rsidRPr="00A3797D" w:rsidRDefault="00A3797D" w:rsidP="00A3797D">
      <w:pPr>
        <w:spacing w:after="0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A3797D">
        <w:rPr>
          <w:rFonts w:ascii="Arial" w:hAnsi="Arial" w:cs="Arial"/>
          <w:b/>
          <w:sz w:val="20"/>
          <w:szCs w:val="20"/>
        </w:rPr>
        <w:t>JEFE OFICINA DE CONTROL INTERNO</w:t>
      </w:r>
    </w:p>
    <w:p w:rsidR="00A3797D" w:rsidRDefault="00A3797D" w:rsidP="00436721">
      <w:pPr>
        <w:spacing w:after="0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</w:p>
    <w:p w:rsidR="00E17E1D" w:rsidRPr="00E17E1D" w:rsidRDefault="00E17E1D" w:rsidP="00436721">
      <w:pPr>
        <w:spacing w:after="0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  <w:r w:rsidRPr="00E17E1D">
        <w:rPr>
          <w:rFonts w:ascii="Arial" w:eastAsia="Times New Roman" w:hAnsi="Arial" w:cs="Arial"/>
          <w:bCs/>
          <w:sz w:val="16"/>
          <w:szCs w:val="16"/>
          <w:lang w:val="es-ES" w:eastAsia="es-ES"/>
        </w:rPr>
        <w:t>Proyecto: William A. Márquez Montero</w:t>
      </w:r>
    </w:p>
    <w:p w:rsidR="00E17E1D" w:rsidRPr="00E17E1D" w:rsidRDefault="00E17E1D" w:rsidP="00436721">
      <w:pPr>
        <w:spacing w:after="0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  <w:r w:rsidRPr="00E17E1D">
        <w:rPr>
          <w:rFonts w:ascii="Arial" w:eastAsia="Times New Roman" w:hAnsi="Arial" w:cs="Arial"/>
          <w:bCs/>
          <w:sz w:val="16"/>
          <w:szCs w:val="16"/>
          <w:lang w:val="es-ES" w:eastAsia="es-ES"/>
        </w:rPr>
        <w:tab/>
        <w:t xml:space="preserve"> Profesional Universitario</w:t>
      </w:r>
    </w:p>
    <w:p w:rsidR="00E17E1D" w:rsidRDefault="00E17E1D" w:rsidP="00436721">
      <w:pPr>
        <w:spacing w:after="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A3797D" w:rsidRDefault="00A3797D" w:rsidP="00436721">
      <w:pPr>
        <w:spacing w:after="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436721" w:rsidRPr="00E17E1D" w:rsidRDefault="00436721" w:rsidP="00436721">
      <w:pPr>
        <w:spacing w:after="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E17E1D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ANEXOS</w:t>
      </w:r>
    </w:p>
    <w:p w:rsidR="00436721" w:rsidRPr="00E17E1D" w:rsidRDefault="00436721" w:rsidP="00436721">
      <w:pPr>
        <w:spacing w:after="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E17E1D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CONTROL DE CAMBIOS</w:t>
      </w:r>
    </w:p>
    <w:tbl>
      <w:tblPr>
        <w:tblStyle w:val="Tablaconcuadrcula"/>
        <w:tblW w:w="4845" w:type="pct"/>
        <w:jc w:val="center"/>
        <w:tblLook w:val="04A0" w:firstRow="1" w:lastRow="0" w:firstColumn="1" w:lastColumn="0" w:noHBand="0" w:noVBand="1"/>
      </w:tblPr>
      <w:tblGrid>
        <w:gridCol w:w="1024"/>
        <w:gridCol w:w="2672"/>
        <w:gridCol w:w="4947"/>
      </w:tblGrid>
      <w:tr w:rsidR="00436721" w:rsidRPr="009541C3" w:rsidTr="00E17E1D">
        <w:trPr>
          <w:trHeight w:val="443"/>
          <w:jc w:val="center"/>
        </w:trPr>
        <w:tc>
          <w:tcPr>
            <w:tcW w:w="592" w:type="pct"/>
            <w:shd w:val="clear" w:color="auto" w:fill="A50021"/>
            <w:vAlign w:val="center"/>
          </w:tcPr>
          <w:p w:rsidR="00436721" w:rsidRPr="009541C3" w:rsidRDefault="00436721" w:rsidP="005A370C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546" w:type="pct"/>
            <w:shd w:val="clear" w:color="auto" w:fill="A50021"/>
          </w:tcPr>
          <w:p w:rsidR="00436721" w:rsidRPr="009541C3" w:rsidRDefault="00436721" w:rsidP="005A370C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862" w:type="pct"/>
            <w:shd w:val="clear" w:color="auto" w:fill="A50021"/>
            <w:vAlign w:val="center"/>
          </w:tcPr>
          <w:p w:rsidR="00436721" w:rsidRPr="009541C3" w:rsidRDefault="00436721" w:rsidP="005A370C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436721" w:rsidRPr="00C431C5" w:rsidTr="00E17E1D">
        <w:trPr>
          <w:trHeight w:val="443"/>
          <w:jc w:val="center"/>
        </w:trPr>
        <w:tc>
          <w:tcPr>
            <w:tcW w:w="592" w:type="pct"/>
            <w:shd w:val="clear" w:color="auto" w:fill="FFFFFF" w:themeFill="background1"/>
            <w:vAlign w:val="center"/>
          </w:tcPr>
          <w:p w:rsidR="00436721" w:rsidRPr="00C527AC" w:rsidRDefault="00436721" w:rsidP="00E17E1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6" w:type="pct"/>
            <w:shd w:val="clear" w:color="auto" w:fill="FFFFFF" w:themeFill="background1"/>
            <w:vAlign w:val="center"/>
          </w:tcPr>
          <w:p w:rsidR="00436721" w:rsidRPr="00173778" w:rsidRDefault="00436721" w:rsidP="00E17E1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3778">
              <w:rPr>
                <w:rFonts w:ascii="Arial" w:hAnsi="Arial" w:cs="Arial"/>
                <w:sz w:val="20"/>
                <w:szCs w:val="20"/>
              </w:rPr>
              <w:t>04/08/2014</w:t>
            </w:r>
          </w:p>
        </w:tc>
        <w:tc>
          <w:tcPr>
            <w:tcW w:w="2862" w:type="pct"/>
            <w:shd w:val="clear" w:color="auto" w:fill="FFFFFF" w:themeFill="background1"/>
            <w:vAlign w:val="center"/>
          </w:tcPr>
          <w:p w:rsidR="00436721" w:rsidRPr="00C527AC" w:rsidRDefault="00436721" w:rsidP="00E17E1D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Creación del formato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36721" w:rsidRPr="00C431C5" w:rsidTr="00E17E1D">
        <w:trPr>
          <w:trHeight w:val="443"/>
          <w:jc w:val="center"/>
        </w:trPr>
        <w:tc>
          <w:tcPr>
            <w:tcW w:w="592" w:type="pct"/>
            <w:shd w:val="clear" w:color="auto" w:fill="FFFFFF" w:themeFill="background1"/>
            <w:vAlign w:val="center"/>
          </w:tcPr>
          <w:p w:rsidR="00436721" w:rsidRPr="00C527AC" w:rsidRDefault="00436721" w:rsidP="00E17E1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46" w:type="pct"/>
            <w:shd w:val="clear" w:color="auto" w:fill="FFFFFF" w:themeFill="background1"/>
            <w:vAlign w:val="center"/>
          </w:tcPr>
          <w:p w:rsidR="00436721" w:rsidRPr="004E129F" w:rsidRDefault="00436721" w:rsidP="00E17E1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9F">
              <w:rPr>
                <w:rFonts w:ascii="Arial" w:hAnsi="Arial" w:cs="Arial"/>
                <w:sz w:val="20"/>
                <w:szCs w:val="20"/>
              </w:rPr>
              <w:t>09/03/20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2" w:type="pct"/>
            <w:shd w:val="clear" w:color="auto" w:fill="FFFFFF" w:themeFill="background1"/>
            <w:vAlign w:val="center"/>
          </w:tcPr>
          <w:p w:rsidR="00436721" w:rsidRPr="00C527AC" w:rsidRDefault="00436721" w:rsidP="00E17E1D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 revisar el formato se evidencia que la casilla fecha de informe está repetida.</w:t>
            </w:r>
          </w:p>
        </w:tc>
      </w:tr>
      <w:tr w:rsidR="00436721" w:rsidRPr="00A522F1" w:rsidTr="00A917C1">
        <w:trPr>
          <w:trHeight w:val="357"/>
          <w:jc w:val="center"/>
        </w:trPr>
        <w:tc>
          <w:tcPr>
            <w:tcW w:w="592" w:type="pct"/>
            <w:vAlign w:val="center"/>
          </w:tcPr>
          <w:p w:rsidR="00436721" w:rsidRPr="00C527AC" w:rsidRDefault="00436721" w:rsidP="00E17E1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48537665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46" w:type="pct"/>
            <w:vAlign w:val="center"/>
          </w:tcPr>
          <w:p w:rsidR="00436721" w:rsidRPr="00C527AC" w:rsidRDefault="00436721" w:rsidP="00E17E1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06/2017</w:t>
            </w:r>
          </w:p>
        </w:tc>
        <w:tc>
          <w:tcPr>
            <w:tcW w:w="2862" w:type="pct"/>
            <w:vAlign w:val="center"/>
          </w:tcPr>
          <w:p w:rsidR="00436721" w:rsidRPr="00C527AC" w:rsidRDefault="00436721" w:rsidP="00E17E1D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modifica </w:t>
            </w:r>
            <w:r w:rsidRPr="00C527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formato y se adiciona firma aprobación del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Jefe Oficina de Control Interno.</w:t>
            </w:r>
          </w:p>
        </w:tc>
      </w:tr>
      <w:bookmarkEnd w:id="1"/>
    </w:tbl>
    <w:p w:rsidR="00885E08" w:rsidRPr="00E17E1D" w:rsidRDefault="00885E08" w:rsidP="00A3797D">
      <w:pPr>
        <w:jc w:val="both"/>
        <w:rPr>
          <w:lang w:val="es-CO"/>
        </w:rPr>
      </w:pPr>
    </w:p>
    <w:sectPr w:rsidR="00885E08" w:rsidRPr="00E17E1D" w:rsidSect="00436721">
      <w:headerReference w:type="default" r:id="rId15"/>
      <w:footerReference w:type="default" r:id="rId16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0CB" w:rsidRDefault="003150CB" w:rsidP="00436721">
      <w:pPr>
        <w:spacing w:after="0"/>
      </w:pPr>
      <w:r>
        <w:separator/>
      </w:r>
    </w:p>
  </w:endnote>
  <w:endnote w:type="continuationSeparator" w:id="0">
    <w:p w:rsidR="003150CB" w:rsidRDefault="003150CB" w:rsidP="004367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28C" w:rsidRDefault="0012728C" w:rsidP="00436721">
    <w:pPr>
      <w:pStyle w:val="Piedepgina"/>
      <w:jc w:val="right"/>
      <w:rPr>
        <w:sz w:val="28"/>
        <w:szCs w:val="28"/>
        <w:lang w:val="es-CO"/>
      </w:rPr>
    </w:pPr>
    <w:r w:rsidRPr="00830CD8">
      <w:rPr>
        <w:sz w:val="28"/>
        <w:szCs w:val="28"/>
        <w:lang w:val="es-CO"/>
      </w:rPr>
      <w:t>7</w:t>
    </w:r>
    <w:r>
      <w:rPr>
        <w:sz w:val="28"/>
        <w:szCs w:val="28"/>
        <w:lang w:val="es-CO"/>
      </w:rPr>
      <w:t>10.14.15-21 V1</w:t>
    </w:r>
  </w:p>
  <w:p w:rsidR="0012728C" w:rsidRDefault="001272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0CB" w:rsidRDefault="003150CB" w:rsidP="00436721">
      <w:pPr>
        <w:spacing w:after="0"/>
      </w:pPr>
      <w:r>
        <w:separator/>
      </w:r>
    </w:p>
  </w:footnote>
  <w:footnote w:type="continuationSeparator" w:id="0">
    <w:p w:rsidR="003150CB" w:rsidRDefault="003150CB" w:rsidP="004367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5"/>
      <w:gridCol w:w="2086"/>
      <w:gridCol w:w="1475"/>
      <w:gridCol w:w="2054"/>
      <w:gridCol w:w="1699"/>
    </w:tblGrid>
    <w:tr w:rsidR="0012728C" w:rsidRPr="0044395D" w:rsidTr="005A370C">
      <w:trPr>
        <w:trHeight w:val="416"/>
      </w:trPr>
      <w:tc>
        <w:tcPr>
          <w:tcW w:w="3035" w:type="dxa"/>
          <w:vMerge w:val="restart"/>
          <w:shd w:val="clear" w:color="auto" w:fill="auto"/>
        </w:tcPr>
        <w:p w:rsidR="0012728C" w:rsidRDefault="0012728C" w:rsidP="00436721">
          <w:pPr>
            <w:widowControl w:val="0"/>
            <w:rPr>
              <w:noProof/>
              <w:sz w:val="16"/>
              <w:szCs w:val="16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6A21CF15" wp14:editId="2E1237CA">
                <wp:simplePos x="0" y="0"/>
                <wp:positionH relativeFrom="column">
                  <wp:posOffset>-102870</wp:posOffset>
                </wp:positionH>
                <wp:positionV relativeFrom="paragraph">
                  <wp:posOffset>245745</wp:posOffset>
                </wp:positionV>
                <wp:extent cx="1945270" cy="499024"/>
                <wp:effectExtent l="0" t="0" r="0" b="0"/>
                <wp:wrapNone/>
                <wp:docPr id="16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2C93A-B656-4B78-A902-CD369987EAA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B2A2C93A-B656-4B78-A902-CD369987EAA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270" cy="49902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  <w:p w:rsidR="0012728C" w:rsidRDefault="0012728C" w:rsidP="00436721">
          <w:pPr>
            <w:widowControl w:val="0"/>
            <w:rPr>
              <w:noProof/>
              <w:sz w:val="16"/>
              <w:szCs w:val="16"/>
            </w:rPr>
          </w:pPr>
        </w:p>
        <w:p w:rsidR="0012728C" w:rsidRPr="00C225FB" w:rsidRDefault="0012728C" w:rsidP="00436721">
          <w:pPr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50021"/>
          <w:vAlign w:val="center"/>
        </w:tcPr>
        <w:p w:rsidR="0012728C" w:rsidRPr="00595069" w:rsidRDefault="0012728C" w:rsidP="00436721">
          <w:pPr>
            <w:widowControl w:val="0"/>
            <w:spacing w:after="0" w:line="240" w:lineRule="atLeast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INFORME DE SEGUIMIENTO</w:t>
          </w:r>
        </w:p>
      </w:tc>
    </w:tr>
    <w:tr w:rsidR="0012728C" w:rsidRPr="00C446A2" w:rsidTr="005A370C">
      <w:tblPrEx>
        <w:tblCellMar>
          <w:left w:w="108" w:type="dxa"/>
          <w:right w:w="108" w:type="dxa"/>
        </w:tblCellMar>
      </w:tblPrEx>
      <w:trPr>
        <w:trHeight w:val="375"/>
      </w:trPr>
      <w:tc>
        <w:tcPr>
          <w:tcW w:w="3035" w:type="dxa"/>
          <w:vMerge/>
          <w:shd w:val="clear" w:color="auto" w:fill="auto"/>
        </w:tcPr>
        <w:p w:rsidR="0012728C" w:rsidRPr="00C225FB" w:rsidRDefault="0012728C" w:rsidP="00436721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:rsidR="0012728C" w:rsidRPr="00C225FB" w:rsidRDefault="0012728C" w:rsidP="00436721">
          <w:pPr>
            <w:widowControl w:val="0"/>
            <w:spacing w:after="0"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 </w:t>
          </w:r>
          <w:r>
            <w:rPr>
              <w:rFonts w:ascii="Arial" w:hAnsi="Arial" w:cs="Arial"/>
              <w:color w:val="000000"/>
              <w:sz w:val="16"/>
              <w:szCs w:val="16"/>
            </w:rPr>
            <w:t>ELABORACIÓ</w:t>
          </w:r>
          <w:r w:rsidRPr="00EA3C1C">
            <w:rPr>
              <w:rFonts w:ascii="Arial" w:hAnsi="Arial" w:cs="Arial"/>
              <w:color w:val="000000"/>
              <w:sz w:val="16"/>
              <w:szCs w:val="16"/>
            </w:rPr>
            <w:t>N DE INFORMES INTERNOS, EXTERNOS POR REQUERIMIENTO LEGAL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Y OTROS INFORMES.</w:t>
          </w:r>
        </w:p>
      </w:tc>
    </w:tr>
    <w:tr w:rsidR="0012728C" w:rsidRPr="0044395D" w:rsidTr="005A370C">
      <w:tblPrEx>
        <w:tblCellMar>
          <w:left w:w="108" w:type="dxa"/>
          <w:right w:w="108" w:type="dxa"/>
        </w:tblCellMar>
      </w:tblPrEx>
      <w:trPr>
        <w:trHeight w:hRule="exact" w:val="288"/>
      </w:trPr>
      <w:tc>
        <w:tcPr>
          <w:tcW w:w="3035" w:type="dxa"/>
          <w:vMerge/>
          <w:shd w:val="clear" w:color="auto" w:fill="auto"/>
        </w:tcPr>
        <w:p w:rsidR="0012728C" w:rsidRPr="00C225FB" w:rsidRDefault="0012728C" w:rsidP="00436721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:rsidR="0012728C" w:rsidRPr="00C225FB" w:rsidRDefault="0012728C" w:rsidP="00436721">
          <w:pPr>
            <w:widowControl w:val="0"/>
            <w:spacing w:after="0" w:line="240" w:lineRule="atLeas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 EVALUACIÒN INDEPENDIENTE.</w:t>
          </w:r>
        </w:p>
      </w:tc>
    </w:tr>
    <w:tr w:rsidR="0012728C" w:rsidRPr="00C64C3C" w:rsidTr="005A370C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3035" w:type="dxa"/>
          <w:vMerge/>
          <w:shd w:val="clear" w:color="auto" w:fill="auto"/>
        </w:tcPr>
        <w:p w:rsidR="0012728C" w:rsidRPr="00C64C3C" w:rsidRDefault="0012728C" w:rsidP="00436721">
          <w:pPr>
            <w:widowControl w:val="0"/>
            <w:spacing w:after="0" w:line="240" w:lineRule="atLeast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12728C" w:rsidRPr="00C64C3C" w:rsidRDefault="0012728C" w:rsidP="00436721">
          <w:pPr>
            <w:pStyle w:val="Encabezado"/>
            <w:widowControl w:val="0"/>
            <w:spacing w:line="240" w:lineRule="atLeast"/>
            <w:ind w:left="-9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Código:  </w:t>
          </w:r>
          <w:bookmarkStart w:id="2" w:name="_Hlk485376669"/>
          <w:r w:rsidRPr="00C64C3C">
            <w:rPr>
              <w:rFonts w:ascii="Arial" w:hAnsi="Arial" w:cs="Arial"/>
              <w:sz w:val="16"/>
              <w:szCs w:val="16"/>
            </w:rPr>
            <w:t>150.19.15-10</w:t>
          </w:r>
          <w:bookmarkEnd w:id="2"/>
        </w:p>
      </w:tc>
      <w:tc>
        <w:tcPr>
          <w:tcW w:w="1475" w:type="dxa"/>
          <w:shd w:val="clear" w:color="auto" w:fill="auto"/>
        </w:tcPr>
        <w:p w:rsidR="0012728C" w:rsidRPr="00C64C3C" w:rsidRDefault="0012728C" w:rsidP="00436721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Versión:  0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054" w:type="dxa"/>
          <w:shd w:val="clear" w:color="auto" w:fill="auto"/>
        </w:tcPr>
        <w:p w:rsidR="0012728C" w:rsidRPr="00C64C3C" w:rsidRDefault="0012728C" w:rsidP="00436721">
          <w:pPr>
            <w:pStyle w:val="Encabezado"/>
            <w:widowControl w:val="0"/>
            <w:spacing w:line="240" w:lineRule="atLeast"/>
            <w:rPr>
              <w:rFonts w:cs="Arial"/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>Fecha:</w:t>
          </w:r>
          <w:r w:rsidRPr="00C64C3C">
            <w:rPr>
              <w:rFonts w:cs="Arial"/>
              <w:sz w:val="16"/>
              <w:szCs w:val="16"/>
            </w:rPr>
            <w:t xml:space="preserve">  </w:t>
          </w:r>
          <w:r>
            <w:rPr>
              <w:rFonts w:cs="Arial"/>
              <w:sz w:val="16"/>
              <w:szCs w:val="16"/>
            </w:rPr>
            <w:t>26/07</w:t>
          </w:r>
          <w:r w:rsidRPr="00C64C3C">
            <w:rPr>
              <w:rFonts w:cs="Arial"/>
              <w:sz w:val="16"/>
              <w:szCs w:val="16"/>
            </w:rPr>
            <w:t>/2017</w:t>
          </w:r>
        </w:p>
      </w:tc>
      <w:tc>
        <w:tcPr>
          <w:tcW w:w="1699" w:type="dxa"/>
          <w:shd w:val="clear" w:color="auto" w:fill="auto"/>
        </w:tcPr>
        <w:p w:rsidR="0012728C" w:rsidRPr="00C64C3C" w:rsidRDefault="0012728C" w:rsidP="00436721">
          <w:pPr>
            <w:widowControl w:val="0"/>
            <w:spacing w:after="0" w:line="240" w:lineRule="atLeast"/>
            <w:rPr>
              <w:sz w:val="16"/>
              <w:szCs w:val="16"/>
            </w:rPr>
          </w:pPr>
          <w:r w:rsidRPr="00C64C3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</w:rPr>
            <w:t>12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  <w:r w:rsidRPr="00C64C3C">
            <w:rPr>
              <w:rFonts w:ascii="Arial" w:hAnsi="Arial" w:cs="Arial"/>
              <w:sz w:val="16"/>
              <w:szCs w:val="22"/>
            </w:rPr>
            <w:t xml:space="preserve"> de </w:t>
          </w:r>
          <w:r w:rsidRPr="00C64C3C">
            <w:rPr>
              <w:rFonts w:ascii="Arial" w:hAnsi="Arial" w:cs="Arial"/>
              <w:sz w:val="16"/>
              <w:szCs w:val="22"/>
            </w:rPr>
            <w:fldChar w:fldCharType="begin"/>
          </w:r>
          <w:r w:rsidRPr="00C64C3C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64C3C">
            <w:rPr>
              <w:rFonts w:ascii="Arial" w:hAnsi="Arial" w:cs="Arial"/>
              <w:sz w:val="16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22"/>
            </w:rPr>
            <w:t>13</w:t>
          </w:r>
          <w:r w:rsidRPr="00C64C3C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12728C" w:rsidRDefault="001272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4E97"/>
    <w:multiLevelType w:val="hybridMultilevel"/>
    <w:tmpl w:val="945C15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7FDE"/>
    <w:multiLevelType w:val="multilevel"/>
    <w:tmpl w:val="88DA7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0F18D8"/>
    <w:multiLevelType w:val="hybridMultilevel"/>
    <w:tmpl w:val="6298F280"/>
    <w:lvl w:ilvl="0" w:tplc="BB0C3868">
      <w:start w:val="1"/>
      <w:numFmt w:val="decimal"/>
      <w:lvlText w:val="%1."/>
      <w:lvlJc w:val="left"/>
      <w:pPr>
        <w:ind w:left="720" w:hanging="360"/>
      </w:pPr>
      <w:rPr>
        <w:rFonts w:ascii="Century Gothic" w:eastAsia="Cambria" w:hAnsi="Century Gothic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1047"/>
    <w:multiLevelType w:val="hybridMultilevel"/>
    <w:tmpl w:val="D19E303A"/>
    <w:lvl w:ilvl="0" w:tplc="B7748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42F6"/>
    <w:multiLevelType w:val="hybridMultilevel"/>
    <w:tmpl w:val="5E0A3FAC"/>
    <w:lvl w:ilvl="0" w:tplc="2FAAE9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4B1B"/>
    <w:multiLevelType w:val="hybridMultilevel"/>
    <w:tmpl w:val="E8B6371E"/>
    <w:lvl w:ilvl="0" w:tplc="F0684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296F"/>
    <w:multiLevelType w:val="hybridMultilevel"/>
    <w:tmpl w:val="240E92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D5458"/>
    <w:multiLevelType w:val="multilevel"/>
    <w:tmpl w:val="E48C87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A93E5B"/>
    <w:multiLevelType w:val="multilevel"/>
    <w:tmpl w:val="7AC43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21"/>
    <w:rsid w:val="000040B7"/>
    <w:rsid w:val="000107FB"/>
    <w:rsid w:val="0004397D"/>
    <w:rsid w:val="00050B21"/>
    <w:rsid w:val="00064878"/>
    <w:rsid w:val="00074924"/>
    <w:rsid w:val="00087C98"/>
    <w:rsid w:val="000957A4"/>
    <w:rsid w:val="000A1251"/>
    <w:rsid w:val="000A15BF"/>
    <w:rsid w:val="000D00A1"/>
    <w:rsid w:val="000E0E13"/>
    <w:rsid w:val="0010575F"/>
    <w:rsid w:val="0012412E"/>
    <w:rsid w:val="0012728C"/>
    <w:rsid w:val="001276AD"/>
    <w:rsid w:val="001307D1"/>
    <w:rsid w:val="00146A98"/>
    <w:rsid w:val="00150953"/>
    <w:rsid w:val="001604EE"/>
    <w:rsid w:val="001641B1"/>
    <w:rsid w:val="0016536F"/>
    <w:rsid w:val="00172784"/>
    <w:rsid w:val="00173C4A"/>
    <w:rsid w:val="001979C1"/>
    <w:rsid w:val="001B1A41"/>
    <w:rsid w:val="001C29EE"/>
    <w:rsid w:val="001D56D4"/>
    <w:rsid w:val="001D7A15"/>
    <w:rsid w:val="001F13B4"/>
    <w:rsid w:val="001F26BC"/>
    <w:rsid w:val="0020314C"/>
    <w:rsid w:val="00225015"/>
    <w:rsid w:val="00226681"/>
    <w:rsid w:val="00234D0B"/>
    <w:rsid w:val="00240DA4"/>
    <w:rsid w:val="00243BDD"/>
    <w:rsid w:val="00246E89"/>
    <w:rsid w:val="00262D8E"/>
    <w:rsid w:val="002666CF"/>
    <w:rsid w:val="00277AFE"/>
    <w:rsid w:val="00282D4E"/>
    <w:rsid w:val="00285512"/>
    <w:rsid w:val="00287B8E"/>
    <w:rsid w:val="002B34E3"/>
    <w:rsid w:val="002D0D6E"/>
    <w:rsid w:val="002E0CF2"/>
    <w:rsid w:val="003150CB"/>
    <w:rsid w:val="00320365"/>
    <w:rsid w:val="003309E9"/>
    <w:rsid w:val="0035273C"/>
    <w:rsid w:val="00356D78"/>
    <w:rsid w:val="00370B30"/>
    <w:rsid w:val="00370C4D"/>
    <w:rsid w:val="003818D3"/>
    <w:rsid w:val="00393387"/>
    <w:rsid w:val="003A0683"/>
    <w:rsid w:val="003A0B8B"/>
    <w:rsid w:val="003C0B3D"/>
    <w:rsid w:val="003D3CE6"/>
    <w:rsid w:val="003D63CA"/>
    <w:rsid w:val="003E104D"/>
    <w:rsid w:val="003E3C7E"/>
    <w:rsid w:val="00401C4F"/>
    <w:rsid w:val="00404F26"/>
    <w:rsid w:val="00417D20"/>
    <w:rsid w:val="004268B5"/>
    <w:rsid w:val="00430234"/>
    <w:rsid w:val="004337AA"/>
    <w:rsid w:val="00436721"/>
    <w:rsid w:val="00471E90"/>
    <w:rsid w:val="00472DCC"/>
    <w:rsid w:val="00474AD2"/>
    <w:rsid w:val="0047584F"/>
    <w:rsid w:val="0049184F"/>
    <w:rsid w:val="004A1CB7"/>
    <w:rsid w:val="004A6107"/>
    <w:rsid w:val="004D03C3"/>
    <w:rsid w:val="004E0160"/>
    <w:rsid w:val="004E420E"/>
    <w:rsid w:val="004E5585"/>
    <w:rsid w:val="004E60BE"/>
    <w:rsid w:val="004F4BFC"/>
    <w:rsid w:val="005134FB"/>
    <w:rsid w:val="0051483B"/>
    <w:rsid w:val="00515A12"/>
    <w:rsid w:val="00521A5D"/>
    <w:rsid w:val="005228E8"/>
    <w:rsid w:val="0053428C"/>
    <w:rsid w:val="005517BB"/>
    <w:rsid w:val="005570C6"/>
    <w:rsid w:val="00564DCF"/>
    <w:rsid w:val="00577631"/>
    <w:rsid w:val="00577B9F"/>
    <w:rsid w:val="00577F2C"/>
    <w:rsid w:val="0058653B"/>
    <w:rsid w:val="00595F69"/>
    <w:rsid w:val="005A11A7"/>
    <w:rsid w:val="005A370C"/>
    <w:rsid w:val="005B6816"/>
    <w:rsid w:val="005B7C3A"/>
    <w:rsid w:val="005D0F5A"/>
    <w:rsid w:val="005D2B4C"/>
    <w:rsid w:val="005F7409"/>
    <w:rsid w:val="00605A72"/>
    <w:rsid w:val="006241FD"/>
    <w:rsid w:val="00643E05"/>
    <w:rsid w:val="00643F05"/>
    <w:rsid w:val="006517C3"/>
    <w:rsid w:val="00666BB6"/>
    <w:rsid w:val="00667396"/>
    <w:rsid w:val="006772D2"/>
    <w:rsid w:val="00690092"/>
    <w:rsid w:val="006A0877"/>
    <w:rsid w:val="006A227C"/>
    <w:rsid w:val="006A3142"/>
    <w:rsid w:val="006B1264"/>
    <w:rsid w:val="006C2938"/>
    <w:rsid w:val="006C50FA"/>
    <w:rsid w:val="006D0983"/>
    <w:rsid w:val="006F2861"/>
    <w:rsid w:val="006F3E96"/>
    <w:rsid w:val="006F51D9"/>
    <w:rsid w:val="006F5489"/>
    <w:rsid w:val="006F57F2"/>
    <w:rsid w:val="00726C48"/>
    <w:rsid w:val="007312DE"/>
    <w:rsid w:val="0074029C"/>
    <w:rsid w:val="00744541"/>
    <w:rsid w:val="007459A4"/>
    <w:rsid w:val="0074629A"/>
    <w:rsid w:val="00764B1E"/>
    <w:rsid w:val="007871CE"/>
    <w:rsid w:val="00790824"/>
    <w:rsid w:val="00797C82"/>
    <w:rsid w:val="007A4F3B"/>
    <w:rsid w:val="007F7710"/>
    <w:rsid w:val="0081523E"/>
    <w:rsid w:val="008159EB"/>
    <w:rsid w:val="00826006"/>
    <w:rsid w:val="00833877"/>
    <w:rsid w:val="00837044"/>
    <w:rsid w:val="00837DFE"/>
    <w:rsid w:val="00846E9B"/>
    <w:rsid w:val="00854368"/>
    <w:rsid w:val="00854A19"/>
    <w:rsid w:val="00862C2F"/>
    <w:rsid w:val="008717E4"/>
    <w:rsid w:val="00873396"/>
    <w:rsid w:val="00884BA5"/>
    <w:rsid w:val="00885699"/>
    <w:rsid w:val="00885E08"/>
    <w:rsid w:val="00895095"/>
    <w:rsid w:val="0089532B"/>
    <w:rsid w:val="008A1365"/>
    <w:rsid w:val="008A143C"/>
    <w:rsid w:val="008A4724"/>
    <w:rsid w:val="008A7CF8"/>
    <w:rsid w:val="008C08E2"/>
    <w:rsid w:val="008C6F49"/>
    <w:rsid w:val="008D122C"/>
    <w:rsid w:val="008D2907"/>
    <w:rsid w:val="008D4A80"/>
    <w:rsid w:val="008F20A5"/>
    <w:rsid w:val="008F6328"/>
    <w:rsid w:val="00902C9C"/>
    <w:rsid w:val="009126BB"/>
    <w:rsid w:val="0092191B"/>
    <w:rsid w:val="0092241C"/>
    <w:rsid w:val="009224DC"/>
    <w:rsid w:val="009247A2"/>
    <w:rsid w:val="0092650E"/>
    <w:rsid w:val="00942176"/>
    <w:rsid w:val="00947AA3"/>
    <w:rsid w:val="00966678"/>
    <w:rsid w:val="00966745"/>
    <w:rsid w:val="009809C1"/>
    <w:rsid w:val="0098371B"/>
    <w:rsid w:val="00984473"/>
    <w:rsid w:val="00991D69"/>
    <w:rsid w:val="009926CA"/>
    <w:rsid w:val="009A772F"/>
    <w:rsid w:val="009D457C"/>
    <w:rsid w:val="009E069B"/>
    <w:rsid w:val="009E45E9"/>
    <w:rsid w:val="009F6768"/>
    <w:rsid w:val="00A12046"/>
    <w:rsid w:val="00A21474"/>
    <w:rsid w:val="00A30F88"/>
    <w:rsid w:val="00A33251"/>
    <w:rsid w:val="00A3797D"/>
    <w:rsid w:val="00A525EF"/>
    <w:rsid w:val="00A57857"/>
    <w:rsid w:val="00A83C68"/>
    <w:rsid w:val="00A917C1"/>
    <w:rsid w:val="00A94311"/>
    <w:rsid w:val="00A974F6"/>
    <w:rsid w:val="00AC33B1"/>
    <w:rsid w:val="00AC4250"/>
    <w:rsid w:val="00AC6453"/>
    <w:rsid w:val="00AE1F32"/>
    <w:rsid w:val="00AE6C36"/>
    <w:rsid w:val="00B014BD"/>
    <w:rsid w:val="00B079CA"/>
    <w:rsid w:val="00B159B7"/>
    <w:rsid w:val="00B21127"/>
    <w:rsid w:val="00B34ED0"/>
    <w:rsid w:val="00B65215"/>
    <w:rsid w:val="00B83887"/>
    <w:rsid w:val="00B86BA7"/>
    <w:rsid w:val="00B96E5A"/>
    <w:rsid w:val="00BA16C4"/>
    <w:rsid w:val="00BA6400"/>
    <w:rsid w:val="00BB2EC0"/>
    <w:rsid w:val="00BC1FF1"/>
    <w:rsid w:val="00BD6DA3"/>
    <w:rsid w:val="00C02B11"/>
    <w:rsid w:val="00C06830"/>
    <w:rsid w:val="00C24E04"/>
    <w:rsid w:val="00C254AE"/>
    <w:rsid w:val="00C31FF7"/>
    <w:rsid w:val="00C32641"/>
    <w:rsid w:val="00C54AAB"/>
    <w:rsid w:val="00C71789"/>
    <w:rsid w:val="00C91955"/>
    <w:rsid w:val="00CB7CBB"/>
    <w:rsid w:val="00CE041A"/>
    <w:rsid w:val="00CE0563"/>
    <w:rsid w:val="00CF1F4A"/>
    <w:rsid w:val="00CF3BBA"/>
    <w:rsid w:val="00CF5567"/>
    <w:rsid w:val="00CF6DBD"/>
    <w:rsid w:val="00D00F10"/>
    <w:rsid w:val="00D06E44"/>
    <w:rsid w:val="00D127FE"/>
    <w:rsid w:val="00D155D1"/>
    <w:rsid w:val="00D261D3"/>
    <w:rsid w:val="00D41B6F"/>
    <w:rsid w:val="00D476C4"/>
    <w:rsid w:val="00D47795"/>
    <w:rsid w:val="00D854C8"/>
    <w:rsid w:val="00D91FCC"/>
    <w:rsid w:val="00DA26DC"/>
    <w:rsid w:val="00DA6A57"/>
    <w:rsid w:val="00DB1134"/>
    <w:rsid w:val="00DC65B8"/>
    <w:rsid w:val="00DC772A"/>
    <w:rsid w:val="00DD3658"/>
    <w:rsid w:val="00DF0BFA"/>
    <w:rsid w:val="00E00748"/>
    <w:rsid w:val="00E13368"/>
    <w:rsid w:val="00E17E1D"/>
    <w:rsid w:val="00E25E6C"/>
    <w:rsid w:val="00E4109C"/>
    <w:rsid w:val="00E433C4"/>
    <w:rsid w:val="00E46E75"/>
    <w:rsid w:val="00E6074A"/>
    <w:rsid w:val="00E658E5"/>
    <w:rsid w:val="00E8513B"/>
    <w:rsid w:val="00EC0C41"/>
    <w:rsid w:val="00EC4810"/>
    <w:rsid w:val="00EE67F9"/>
    <w:rsid w:val="00EF5EB2"/>
    <w:rsid w:val="00EF629B"/>
    <w:rsid w:val="00EF72E0"/>
    <w:rsid w:val="00F12B95"/>
    <w:rsid w:val="00F21DFD"/>
    <w:rsid w:val="00F3587B"/>
    <w:rsid w:val="00F41517"/>
    <w:rsid w:val="00F41F1C"/>
    <w:rsid w:val="00F433D9"/>
    <w:rsid w:val="00F44857"/>
    <w:rsid w:val="00F65D1F"/>
    <w:rsid w:val="00F704C4"/>
    <w:rsid w:val="00F73DD1"/>
    <w:rsid w:val="00F92F88"/>
    <w:rsid w:val="00FA1DB8"/>
    <w:rsid w:val="00FA3F47"/>
    <w:rsid w:val="00FB011E"/>
    <w:rsid w:val="00FB02F6"/>
    <w:rsid w:val="00FB6313"/>
    <w:rsid w:val="00FC45A8"/>
    <w:rsid w:val="00FD76F2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A3649F-3A19-4031-82B8-8FBC2EA3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721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3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36721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43672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436721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3672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721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367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436721"/>
    <w:rPr>
      <w:rFonts w:ascii="Arial" w:eastAsia="Times New Roman" w:hAnsi="Arial" w:cs="Times New Roman"/>
      <w:b/>
      <w:snapToGrid w:val="0"/>
      <w:color w:val="000000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436721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36721"/>
    <w:pPr>
      <w:ind w:left="720"/>
      <w:contextualSpacing/>
    </w:pPr>
  </w:style>
  <w:style w:type="paragraph" w:customStyle="1" w:styleId="Default">
    <w:name w:val="Default"/>
    <w:rsid w:val="00436721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436721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4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4C4"/>
    <w:rPr>
      <w:rFonts w:ascii="Segoe UI" w:eastAsia="Cambr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6894-B9AC-4925-97D4-A8F5DA23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4522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David Murcia Rodriguez</dc:creator>
  <cp:keywords/>
  <dc:description/>
  <cp:lastModifiedBy>Angelica Del Pilar Pulido Martinez</cp:lastModifiedBy>
  <cp:revision>2</cp:revision>
  <cp:lastPrinted>2019-01-24T15:12:00Z</cp:lastPrinted>
  <dcterms:created xsi:type="dcterms:W3CDTF">2019-02-11T14:35:00Z</dcterms:created>
  <dcterms:modified xsi:type="dcterms:W3CDTF">2019-02-11T14:35:00Z</dcterms:modified>
</cp:coreProperties>
</file>