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  <w:iCs/>
        </w:rPr>
      </w:pPr>
      <w:r w:rsidRPr="002F5750">
        <w:rPr>
          <w:rFonts w:ascii="Arial" w:hAnsi="Arial" w:cs="Arial"/>
          <w:b/>
        </w:rPr>
        <w:t xml:space="preserve">LA DIRECTORA TÉCNICA </w:t>
      </w:r>
      <w:r w:rsidRPr="002F5750">
        <w:rPr>
          <w:rFonts w:ascii="Arial" w:hAnsi="Arial" w:cs="Arial"/>
          <w:b/>
          <w:iCs/>
        </w:rPr>
        <w:t>DE REGISTRO Y GESTIÓN DE LA INFORMACIÓN DE LA UNIDAD PARA LA ATENCIÓN Y REPARACIÓN INTEGRAL A LAS VÍCTIMAS</w:t>
      </w: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  <w:iCs/>
        </w:rPr>
      </w:pP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 xml:space="preserve">Atendiendo a lo dispuesto en la Ley 489 de 1998, el </w:t>
      </w:r>
      <w:r w:rsidR="0089594C" w:rsidRPr="00441E6A">
        <w:rPr>
          <w:rFonts w:ascii="Arial" w:hAnsi="Arial" w:cs="Arial"/>
          <w:iCs/>
          <w:highlight w:val="yellow"/>
          <w:u w:val="single"/>
        </w:rPr>
        <w:t>Código Contencioso Administrativo</w:t>
      </w:r>
      <w:r w:rsidR="0089594C">
        <w:rPr>
          <w:rFonts w:ascii="Arial" w:hAnsi="Arial" w:cs="Arial"/>
          <w:iCs/>
          <w:u w:val="single"/>
        </w:rPr>
        <w:t xml:space="preserve"> Decreto01 de 1984</w:t>
      </w:r>
      <w:r w:rsidR="00D9218F" w:rsidRPr="002F5750">
        <w:rPr>
          <w:rFonts w:ascii="Arial" w:hAnsi="Arial" w:cs="Arial"/>
          <w:iCs/>
        </w:rPr>
        <w:t>,</w:t>
      </w:r>
      <w:r w:rsidRPr="002F5750">
        <w:rPr>
          <w:rFonts w:ascii="Arial" w:hAnsi="Arial" w:cs="Arial"/>
          <w:iCs/>
        </w:rPr>
        <w:t xml:space="preserve"> la Ley 387 de 1997,</w:t>
      </w:r>
      <w:r w:rsidR="00441E6A" w:rsidRPr="002F5750">
        <w:rPr>
          <w:rFonts w:ascii="Arial" w:hAnsi="Arial" w:cs="Arial"/>
          <w:iCs/>
        </w:rPr>
        <w:t xml:space="preserve"> Ley 418 de 1997, </w:t>
      </w:r>
      <w:r w:rsidR="00441E6A" w:rsidRPr="002F5750">
        <w:rPr>
          <w:rFonts w:ascii="Arial" w:hAnsi="Arial" w:cs="Arial"/>
        </w:rPr>
        <w:t xml:space="preserve"> </w:t>
      </w:r>
      <w:r w:rsidR="00441E6A" w:rsidRPr="002F5750">
        <w:rPr>
          <w:rFonts w:ascii="Arial" w:hAnsi="Arial" w:cs="Arial"/>
          <w:iCs/>
        </w:rPr>
        <w:t>el Decreto 2569 de 2000</w:t>
      </w:r>
      <w:r w:rsidRPr="002F5750">
        <w:rPr>
          <w:rFonts w:ascii="Arial" w:hAnsi="Arial" w:cs="Arial"/>
          <w:iCs/>
        </w:rPr>
        <w:t xml:space="preserve"> ,</w:t>
      </w:r>
      <w:r w:rsidR="00441E6A" w:rsidRPr="002F5750">
        <w:rPr>
          <w:rFonts w:ascii="Arial" w:hAnsi="Arial" w:cs="Arial"/>
          <w:iCs/>
        </w:rPr>
        <w:t xml:space="preserve"> Decreto 1290 de 2008 , </w:t>
      </w:r>
      <w:r w:rsidRPr="002F5750">
        <w:rPr>
          <w:rFonts w:ascii="Arial" w:hAnsi="Arial" w:cs="Arial"/>
          <w:iCs/>
        </w:rPr>
        <w:t xml:space="preserve"> la Ley 1448 de 2011, el Decreto 4155 de 2011, el Decreto 4800 de 2</w:t>
      </w:r>
      <w:r w:rsidR="00441E6A" w:rsidRPr="002F5750">
        <w:rPr>
          <w:rFonts w:ascii="Arial" w:hAnsi="Arial" w:cs="Arial"/>
          <w:iCs/>
        </w:rPr>
        <w:t xml:space="preserve">011, el Decreto 4802 de 2011, </w:t>
      </w:r>
      <w:r w:rsidR="00D9218F" w:rsidRPr="002F5750">
        <w:rPr>
          <w:rFonts w:ascii="Arial" w:hAnsi="Arial" w:cs="Arial"/>
          <w:iCs/>
        </w:rPr>
        <w:t xml:space="preserve">La Resolución  </w:t>
      </w:r>
      <w:r w:rsidR="00DF6DA2" w:rsidRPr="002F5750">
        <w:rPr>
          <w:rFonts w:ascii="Arial" w:hAnsi="Arial" w:cs="Arial"/>
          <w:iCs/>
        </w:rPr>
        <w:t>677  de  14 de Octubre de 2014</w:t>
      </w:r>
      <w:r w:rsidRPr="002F5750">
        <w:rPr>
          <w:rFonts w:ascii="Arial" w:hAnsi="Arial" w:cs="Arial"/>
          <w:iCs/>
        </w:rPr>
        <w:t xml:space="preserve"> </w:t>
      </w:r>
      <w:r w:rsidR="00D9218F" w:rsidRPr="002F5750">
        <w:rPr>
          <w:rFonts w:ascii="Arial" w:hAnsi="Arial" w:cs="Arial"/>
          <w:iCs/>
        </w:rPr>
        <w:t xml:space="preserve">, </w:t>
      </w:r>
      <w:r w:rsidRPr="002F5750">
        <w:rPr>
          <w:rFonts w:ascii="Arial" w:hAnsi="Arial" w:cs="Arial"/>
          <w:iCs/>
        </w:rPr>
        <w:t>y</w:t>
      </w:r>
      <w:r w:rsidR="00441E6A" w:rsidRPr="002F5750">
        <w:rPr>
          <w:rFonts w:ascii="Arial" w:hAnsi="Arial" w:cs="Arial"/>
          <w:iCs/>
        </w:rPr>
        <w:t xml:space="preserve"> la Resolución  113 de  2015 ,</w:t>
      </w:r>
    </w:p>
    <w:p w:rsidR="00441E6A" w:rsidRPr="002F5750" w:rsidRDefault="00441E6A" w:rsidP="00EC5892">
      <w:pPr>
        <w:ind w:left="284" w:right="334"/>
        <w:jc w:val="both"/>
        <w:rPr>
          <w:rFonts w:ascii="Arial" w:hAnsi="Arial" w:cs="Arial"/>
          <w:iCs/>
        </w:rPr>
      </w:pP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  <w:iCs/>
        </w:rPr>
      </w:pPr>
      <w:r w:rsidRPr="002F5750">
        <w:rPr>
          <w:rFonts w:ascii="Arial" w:hAnsi="Arial" w:cs="Arial"/>
          <w:b/>
          <w:iCs/>
        </w:rPr>
        <w:t>CONSIDERANDO</w:t>
      </w: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  <w:iCs/>
        </w:rPr>
      </w:pPr>
    </w:p>
    <w:p w:rsidR="00F85B39" w:rsidRPr="002F5750" w:rsidRDefault="00F85B39" w:rsidP="00EC5892">
      <w:pPr>
        <w:tabs>
          <w:tab w:val="num" w:pos="760"/>
        </w:tabs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>Que la Ley 1448 de 2011 y su Decreto Reglamentario 4802 de 2011 establecen como función de la Dirección de Registro y Gestión de la Información de la Unidad para la Atención y Reparación Integral a las Víctimas, decidir la solicitud de inscripción en el Registro Único de Víctimas y resolver los</w:t>
      </w:r>
      <w:r w:rsidR="00BE306E" w:rsidRPr="002F5750">
        <w:rPr>
          <w:rFonts w:ascii="Arial" w:hAnsi="Arial" w:cs="Arial"/>
          <w:iCs/>
        </w:rPr>
        <w:t xml:space="preserve"> recursos de la actuación administrativa.</w:t>
      </w:r>
    </w:p>
    <w:p w:rsidR="00F85B39" w:rsidRPr="002F5750" w:rsidRDefault="00F85B39" w:rsidP="00EC5892">
      <w:pPr>
        <w:tabs>
          <w:tab w:val="num" w:pos="760"/>
        </w:tabs>
        <w:ind w:left="284" w:right="334"/>
        <w:jc w:val="both"/>
        <w:rPr>
          <w:rFonts w:ascii="Arial" w:hAnsi="Arial" w:cs="Arial"/>
          <w:iCs/>
        </w:rPr>
      </w:pP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>Que el Decreto 4802 de 2011 establece en el artículo 40 transitorio que la Unidad para la Atención y Reparación Integral a las  Víctimas inició su operación a partir del 1 de enero de 2012, razón por la cual aquellas funciones asumidas por Acción Social, transformada en Departamento para la Prosperidad Social- DPS-, se trasladaron a esta Unidad, incluso aquellas actuaciones administrativas que no fueron culminadas por el DPS hasta el 31 de diciembre de 2011.</w:t>
      </w:r>
    </w:p>
    <w:p w:rsidR="00DF6DA2" w:rsidRPr="002F5750" w:rsidRDefault="00DF6DA2" w:rsidP="00EC5892">
      <w:pPr>
        <w:ind w:left="284" w:right="334"/>
        <w:jc w:val="both"/>
        <w:rPr>
          <w:rFonts w:ascii="Arial" w:hAnsi="Arial" w:cs="Arial"/>
          <w:iCs/>
        </w:rPr>
      </w:pPr>
    </w:p>
    <w:p w:rsidR="00441E6A" w:rsidRPr="002F5750" w:rsidRDefault="00DF6DA2" w:rsidP="00EC5892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 xml:space="preserve">Que mediante Resolución 677  de  14 de Octubre de 2014, la Directora General de la Unidad Para la Atención y la Reparación Integral a las víctimas, delego a la Dirección de Registro y Gestión de la Información atender la </w:t>
      </w:r>
      <w:r w:rsidR="006F5F12" w:rsidRPr="002F5750">
        <w:rPr>
          <w:rFonts w:ascii="Arial" w:hAnsi="Arial" w:cs="Arial"/>
          <w:iCs/>
        </w:rPr>
        <w:t>Actuación Administrativa</w:t>
      </w:r>
      <w:r w:rsidRPr="002F5750">
        <w:rPr>
          <w:rFonts w:ascii="Arial" w:hAnsi="Arial" w:cs="Arial"/>
          <w:iCs/>
        </w:rPr>
        <w:t xml:space="preserve"> en primera  y Única Instancia.</w:t>
      </w:r>
    </w:p>
    <w:p w:rsidR="00441E6A" w:rsidRPr="002F5750" w:rsidRDefault="00441E6A" w:rsidP="00EC5892">
      <w:pPr>
        <w:ind w:left="284" w:right="334"/>
        <w:jc w:val="both"/>
        <w:rPr>
          <w:rFonts w:ascii="Arial" w:hAnsi="Arial" w:cs="Arial"/>
          <w:iCs/>
        </w:rPr>
      </w:pPr>
    </w:p>
    <w:p w:rsidR="00DF6DA2" w:rsidRPr="002F5750" w:rsidRDefault="00441E6A" w:rsidP="00EC5892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>Que mediante Resolución  113 de  2015 , se organizan  los grupos internos  de Trabajo de la Unidad Para la Atención y Reparación Integral a Las Víctimas , y se modifican las Resoluciones  2043 de 2012, 014 y 187 de 2013 y la 620 de 2014.</w:t>
      </w:r>
    </w:p>
    <w:p w:rsidR="00DF6DA2" w:rsidRPr="002F5750" w:rsidRDefault="00DF6DA2" w:rsidP="00EC5892">
      <w:pPr>
        <w:ind w:left="284" w:right="334"/>
        <w:jc w:val="center"/>
        <w:rPr>
          <w:rFonts w:ascii="Arial" w:hAnsi="Arial" w:cs="Arial"/>
          <w:b/>
          <w:iCs/>
          <w:u w:val="single"/>
        </w:rPr>
      </w:pPr>
      <w:r w:rsidRPr="002F5750">
        <w:rPr>
          <w:rFonts w:ascii="Arial" w:hAnsi="Arial" w:cs="Arial"/>
          <w:b/>
          <w:iCs/>
          <w:u w:val="single"/>
        </w:rPr>
        <w:t>ANTECEDENTES</w:t>
      </w: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  <w:iCs/>
        </w:rPr>
      </w:pPr>
    </w:p>
    <w:p w:rsidR="00421F6D" w:rsidRPr="002F5750" w:rsidRDefault="00421F6D" w:rsidP="00421F6D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 xml:space="preserve">Que </w:t>
      </w:r>
      <w:r w:rsidR="0089594C">
        <w:rPr>
          <w:rFonts w:ascii="Arial" w:hAnsi="Arial" w:cs="Arial"/>
          <w:iCs/>
        </w:rPr>
        <w:t>(el) (la)</w:t>
      </w:r>
      <w:r w:rsidRPr="002F5750">
        <w:rPr>
          <w:rFonts w:ascii="Arial" w:hAnsi="Arial" w:cs="Arial"/>
          <w:iCs/>
        </w:rPr>
        <w:t xml:space="preserve"> señor</w:t>
      </w:r>
      <w:r w:rsidR="0089594C">
        <w:rPr>
          <w:rFonts w:ascii="Arial" w:hAnsi="Arial" w:cs="Arial"/>
          <w:iCs/>
        </w:rPr>
        <w:t>(</w:t>
      </w:r>
      <w:r w:rsidRPr="002F5750">
        <w:rPr>
          <w:rFonts w:ascii="Arial" w:hAnsi="Arial" w:cs="Arial"/>
          <w:iCs/>
        </w:rPr>
        <w:t>a</w:t>
      </w:r>
      <w:r w:rsidR="0089594C">
        <w:rPr>
          <w:rFonts w:ascii="Arial" w:hAnsi="Arial" w:cs="Arial"/>
          <w:iCs/>
        </w:rPr>
        <w:t xml:space="preserve">) </w:t>
      </w:r>
      <w:r w:rsidRPr="002F5750">
        <w:rPr>
          <w:rFonts w:ascii="Arial" w:hAnsi="Arial" w:cs="Arial"/>
          <w:iCs/>
        </w:rPr>
        <w:t xml:space="preserve"> </w:t>
      </w:r>
      <w:r w:rsidR="0089594C">
        <w:rPr>
          <w:rFonts w:ascii="Arial" w:hAnsi="Arial" w:cs="Arial"/>
          <w:b/>
          <w:iCs/>
        </w:rPr>
        <w:t>XXXXXXXXXXXXXXXXX</w:t>
      </w:r>
      <w:r w:rsidRPr="002F5750">
        <w:rPr>
          <w:rFonts w:ascii="Arial" w:hAnsi="Arial" w:cs="Arial"/>
          <w:iCs/>
        </w:rPr>
        <w:t xml:space="preserve">, identificada con la cédula de ciudadanía No. </w:t>
      </w:r>
      <w:proofErr w:type="spellStart"/>
      <w:r w:rsidR="0089594C">
        <w:rPr>
          <w:rFonts w:ascii="Arial" w:hAnsi="Arial" w:cs="Arial"/>
          <w:b/>
          <w:iCs/>
        </w:rPr>
        <w:t>xxxxxxxxxxx</w:t>
      </w:r>
      <w:proofErr w:type="spellEnd"/>
      <w:r w:rsidRPr="002F5750">
        <w:rPr>
          <w:rFonts w:ascii="Arial" w:hAnsi="Arial" w:cs="Arial"/>
          <w:iCs/>
        </w:rPr>
        <w:t xml:space="preserve">, presentó solicitud de </w:t>
      </w:r>
      <w:r w:rsidR="0089594C">
        <w:rPr>
          <w:rFonts w:ascii="Arial" w:hAnsi="Arial" w:cs="Arial"/>
          <w:iCs/>
        </w:rPr>
        <w:t xml:space="preserve">reconsideración en contra del acta </w:t>
      </w:r>
      <w:proofErr w:type="spellStart"/>
      <w:r w:rsidR="0089594C">
        <w:rPr>
          <w:rFonts w:ascii="Arial" w:hAnsi="Arial" w:cs="Arial"/>
          <w:iCs/>
        </w:rPr>
        <w:t>xxxxxxxxxxxx</w:t>
      </w:r>
      <w:proofErr w:type="spellEnd"/>
      <w:r w:rsidRPr="002F5750">
        <w:rPr>
          <w:rFonts w:ascii="Arial" w:hAnsi="Arial" w:cs="Arial"/>
          <w:iCs/>
        </w:rPr>
        <w:t xml:space="preserve"> a su favor por </w:t>
      </w:r>
      <w:r w:rsidR="0089594C" w:rsidRPr="0089594C">
        <w:rPr>
          <w:rFonts w:ascii="Arial" w:hAnsi="Arial" w:cs="Arial"/>
          <w:b/>
          <w:iCs/>
          <w:color w:val="FF0000"/>
        </w:rPr>
        <w:t xml:space="preserve">(hecho declarado) </w:t>
      </w:r>
      <w:r w:rsidRPr="0089594C">
        <w:rPr>
          <w:rFonts w:ascii="Arial" w:hAnsi="Arial" w:cs="Arial"/>
          <w:iCs/>
          <w:color w:val="FF0000"/>
        </w:rPr>
        <w:t xml:space="preserve"> </w:t>
      </w:r>
      <w:r w:rsidRPr="002F5750">
        <w:rPr>
          <w:rFonts w:ascii="Arial" w:hAnsi="Arial" w:cs="Arial"/>
          <w:iCs/>
        </w:rPr>
        <w:t xml:space="preserve">de </w:t>
      </w:r>
      <w:r w:rsidR="0089594C" w:rsidRPr="0089594C">
        <w:rPr>
          <w:rFonts w:ascii="Arial" w:hAnsi="Arial" w:cs="Arial"/>
          <w:b/>
          <w:iCs/>
          <w:color w:val="FF0000"/>
        </w:rPr>
        <w:t>(victima directa</w:t>
      </w:r>
      <w:r w:rsidR="0089594C">
        <w:rPr>
          <w:rFonts w:ascii="Arial" w:hAnsi="Arial" w:cs="Arial"/>
          <w:b/>
          <w:iCs/>
        </w:rPr>
        <w:t>)</w:t>
      </w:r>
      <w:r w:rsidRPr="002F5750">
        <w:rPr>
          <w:rFonts w:ascii="Arial" w:hAnsi="Arial" w:cs="Arial"/>
          <w:iCs/>
        </w:rPr>
        <w:t xml:space="preserve">, hechos ocurridos en </w:t>
      </w:r>
      <w:proofErr w:type="spellStart"/>
      <w:r w:rsidR="0089594C">
        <w:rPr>
          <w:rFonts w:ascii="Arial" w:hAnsi="Arial" w:cs="Arial"/>
          <w:iCs/>
        </w:rPr>
        <w:t>xxxxxxxxxxxxx</w:t>
      </w:r>
      <w:proofErr w:type="spellEnd"/>
      <w:r w:rsidRPr="002F5750">
        <w:rPr>
          <w:rFonts w:ascii="Arial" w:hAnsi="Arial" w:cs="Arial"/>
          <w:iCs/>
        </w:rPr>
        <w:t xml:space="preserve">. </w:t>
      </w:r>
    </w:p>
    <w:p w:rsidR="00421F6D" w:rsidRPr="002F5750" w:rsidRDefault="00421F6D" w:rsidP="00421F6D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 xml:space="preserve"> </w:t>
      </w:r>
    </w:p>
    <w:p w:rsidR="006037F5" w:rsidRPr="006037F5" w:rsidRDefault="006037F5" w:rsidP="006037F5">
      <w:pPr>
        <w:ind w:left="284" w:right="334"/>
        <w:jc w:val="both"/>
        <w:rPr>
          <w:rFonts w:ascii="Arial" w:hAnsi="Arial" w:cs="Arial"/>
          <w:iCs/>
        </w:rPr>
      </w:pPr>
      <w:r w:rsidRPr="006037F5">
        <w:rPr>
          <w:rFonts w:ascii="Arial" w:hAnsi="Arial" w:cs="Arial"/>
          <w:iCs/>
        </w:rPr>
        <w:t>Que dicha solicitud fue decidida por el Comité de Reparaciones Administrativas mediante Acta No XXXXXX  en el sentido de NO reconocer el  (HECHO DECLARADO), por cuanto acorde a las recomendaciones de la extinta Acción Social en estudio técnico y el estudio del caso, se determinó que los hechos no se enmarcaban  en los criterios para reconocimiento de víctimas establecidos en el artículo 24 del Dto. 1290 de 2008.</w:t>
      </w:r>
    </w:p>
    <w:p w:rsidR="006037F5" w:rsidRPr="006037F5" w:rsidRDefault="006037F5" w:rsidP="006037F5">
      <w:pPr>
        <w:ind w:left="284" w:right="334"/>
        <w:jc w:val="both"/>
        <w:rPr>
          <w:rFonts w:ascii="Arial" w:hAnsi="Arial" w:cs="Arial"/>
          <w:iCs/>
        </w:rPr>
      </w:pPr>
    </w:p>
    <w:p w:rsidR="001C69E5" w:rsidRDefault="006037F5" w:rsidP="006037F5">
      <w:pPr>
        <w:ind w:left="284" w:right="334"/>
        <w:jc w:val="both"/>
        <w:rPr>
          <w:rFonts w:ascii="Arial" w:hAnsi="Arial" w:cs="Arial"/>
          <w:iCs/>
        </w:rPr>
      </w:pPr>
      <w:r w:rsidRPr="006037F5">
        <w:rPr>
          <w:rFonts w:ascii="Arial" w:hAnsi="Arial" w:cs="Arial"/>
          <w:iCs/>
        </w:rPr>
        <w:t>Que el artículo 156 del Decreto 4800 de 2011, establece que: “(…) Sólo a solicitud de parte, podrán ser reconsiderados, bajo las reglas del presente decreto, los casos que hayan sido negados por presentación extemporánea, por el momento de ocurrencia de los hechos, o porque los hechos estaban fuera del marco de la Ley 418 de 1997 o del Decreto 1290 de 2008(...)”.</w:t>
      </w:r>
    </w:p>
    <w:p w:rsidR="002367EE" w:rsidRPr="002F5750" w:rsidRDefault="002367EE" w:rsidP="006037F5">
      <w:pPr>
        <w:ind w:right="334"/>
        <w:jc w:val="both"/>
        <w:rPr>
          <w:rFonts w:ascii="Arial" w:hAnsi="Arial" w:cs="Arial"/>
          <w:iCs/>
        </w:rPr>
      </w:pPr>
    </w:p>
    <w:p w:rsidR="002367EE" w:rsidRPr="006037F5" w:rsidRDefault="006037F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FF0000"/>
          <w:sz w:val="20"/>
          <w:szCs w:val="20"/>
          <w:lang w:eastAsia="es-ES"/>
        </w:rPr>
      </w:pPr>
      <w:r w:rsidRPr="006037F5">
        <w:rPr>
          <w:iCs/>
          <w:color w:val="FF0000"/>
          <w:sz w:val="20"/>
          <w:szCs w:val="20"/>
          <w:lang w:eastAsia="es-ES"/>
        </w:rPr>
        <w:t>(</w:t>
      </w:r>
      <w:r w:rsidRPr="006037F5">
        <w:rPr>
          <w:b/>
          <w:iCs/>
          <w:color w:val="FF0000"/>
          <w:sz w:val="20"/>
          <w:szCs w:val="20"/>
          <w:lang w:eastAsia="es-ES"/>
        </w:rPr>
        <w:t>RELACION DE LA SOLICITUD PRESENTADA (APLICA PARA CASOS NO PROCEDENTES CONFORME A LAS REGLAS ESTABLECIDAS EN EL ART 156 DTO 4800 DE 2011).</w:t>
      </w:r>
    </w:p>
    <w:p w:rsidR="001C69E5" w:rsidRDefault="001C69E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</w:p>
    <w:p w:rsidR="006037F5" w:rsidRPr="002F5750" w:rsidRDefault="006037F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  <w:r w:rsidRPr="006037F5">
        <w:rPr>
          <w:iCs/>
          <w:color w:val="FF0000"/>
          <w:sz w:val="20"/>
          <w:szCs w:val="20"/>
          <w:lang w:eastAsia="es-ES"/>
        </w:rPr>
        <w:t>Cuando la causal sea improcedencia de la solicitud de reconsideración</w:t>
      </w:r>
    </w:p>
    <w:p w:rsidR="001C69E5" w:rsidRPr="002F5750" w:rsidRDefault="001C69E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</w:p>
    <w:p w:rsidR="001C69E5" w:rsidRPr="002F5750" w:rsidRDefault="001C69E5" w:rsidP="001C69E5">
      <w:pPr>
        <w:ind w:left="284" w:right="334"/>
        <w:jc w:val="both"/>
        <w:rPr>
          <w:rStyle w:val="nfasis"/>
          <w:rFonts w:ascii="Arial" w:hAnsi="Arial" w:cs="Arial"/>
          <w:b/>
        </w:rPr>
      </w:pPr>
      <w:r w:rsidRPr="002F5750">
        <w:rPr>
          <w:rStyle w:val="nfasis"/>
          <w:rFonts w:ascii="Arial" w:hAnsi="Arial" w:cs="Arial"/>
        </w:rPr>
        <w:t xml:space="preserve">De igual forma se debe aclarar </w:t>
      </w:r>
      <w:r w:rsidR="006037F5">
        <w:rPr>
          <w:rStyle w:val="nfasis"/>
          <w:rFonts w:ascii="Arial" w:hAnsi="Arial" w:cs="Arial"/>
        </w:rPr>
        <w:t>XXXXXXXXXXXXXXX</w:t>
      </w:r>
      <w:r w:rsidRPr="002F5750">
        <w:rPr>
          <w:rStyle w:val="nfasis"/>
          <w:rFonts w:ascii="Arial" w:hAnsi="Arial" w:cs="Arial"/>
        </w:rPr>
        <w:t xml:space="preserve"> que la solicitud de reconsideración únicamente procede según lo señala la ley el artículo 156 del Decreto 4800 de 2011, </w:t>
      </w:r>
      <w:r w:rsidR="006037F5">
        <w:rPr>
          <w:rStyle w:val="nfasis"/>
          <w:rFonts w:ascii="Arial" w:hAnsi="Arial" w:cs="Arial"/>
        </w:rPr>
        <w:t xml:space="preserve">para </w:t>
      </w:r>
      <w:r w:rsidRPr="002F5750">
        <w:rPr>
          <w:rStyle w:val="nfasis"/>
          <w:rFonts w:ascii="Arial" w:hAnsi="Arial" w:cs="Arial"/>
          <w:b/>
        </w:rPr>
        <w:t xml:space="preserve"> </w:t>
      </w:r>
      <w:r w:rsidRPr="006037F5">
        <w:rPr>
          <w:rStyle w:val="nfasis"/>
          <w:rFonts w:ascii="Arial" w:hAnsi="Arial" w:cs="Arial"/>
          <w:b/>
          <w:u w:val="single"/>
        </w:rPr>
        <w:t>los casos que hayan sido negados por presentación extemporánea, por el momento de ocurrencia de los hechos, o porque los hechos estaban fuera del marco de la Ley 418 de 1997 o del Decreto 1290 de 2008</w:t>
      </w:r>
      <w:r w:rsidRPr="002F5750">
        <w:rPr>
          <w:rStyle w:val="nfasis"/>
          <w:rFonts w:ascii="Arial" w:hAnsi="Arial" w:cs="Arial"/>
          <w:b/>
        </w:rPr>
        <w:t>”.</w:t>
      </w:r>
    </w:p>
    <w:p w:rsidR="001C69E5" w:rsidRDefault="001C69E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</w:p>
    <w:p w:rsidR="006037F5" w:rsidRDefault="006037F5" w:rsidP="002367EE">
      <w:pPr>
        <w:pStyle w:val="Default"/>
        <w:tabs>
          <w:tab w:val="left" w:pos="284"/>
        </w:tabs>
        <w:ind w:left="284" w:right="334"/>
        <w:jc w:val="both"/>
        <w:rPr>
          <w:b/>
          <w:iCs/>
          <w:color w:val="FF0000"/>
          <w:sz w:val="20"/>
          <w:szCs w:val="20"/>
          <w:lang w:eastAsia="es-ES"/>
        </w:rPr>
      </w:pPr>
      <w:r w:rsidRPr="006037F5">
        <w:rPr>
          <w:b/>
          <w:iCs/>
          <w:color w:val="FF0000"/>
          <w:sz w:val="20"/>
          <w:szCs w:val="20"/>
          <w:lang w:eastAsia="es-ES"/>
        </w:rPr>
        <w:lastRenderedPageBreak/>
        <w:t xml:space="preserve">Cuando la causal sea agotamiento de VG. </w:t>
      </w:r>
      <w:r>
        <w:rPr>
          <w:b/>
          <w:iCs/>
          <w:color w:val="FF0000"/>
          <w:sz w:val="20"/>
          <w:szCs w:val="20"/>
          <w:lang w:eastAsia="es-ES"/>
        </w:rPr>
        <w:t xml:space="preserve"> (Ver art 63 </w:t>
      </w:r>
      <w:r w:rsidR="0085327D">
        <w:rPr>
          <w:b/>
          <w:iCs/>
          <w:color w:val="FF0000"/>
          <w:sz w:val="20"/>
          <w:szCs w:val="20"/>
          <w:lang w:eastAsia="es-ES"/>
        </w:rPr>
        <w:t>Dto.</w:t>
      </w:r>
      <w:r>
        <w:rPr>
          <w:b/>
          <w:iCs/>
          <w:color w:val="FF0000"/>
          <w:sz w:val="20"/>
          <w:szCs w:val="20"/>
          <w:lang w:eastAsia="es-ES"/>
        </w:rPr>
        <w:t xml:space="preserve"> 01 de 1984)</w:t>
      </w:r>
    </w:p>
    <w:p w:rsidR="0085327D" w:rsidRDefault="0085327D" w:rsidP="002367EE">
      <w:pPr>
        <w:pStyle w:val="Default"/>
        <w:tabs>
          <w:tab w:val="left" w:pos="284"/>
        </w:tabs>
        <w:ind w:left="284" w:right="334"/>
        <w:jc w:val="both"/>
        <w:rPr>
          <w:b/>
          <w:iCs/>
          <w:color w:val="FF0000"/>
          <w:sz w:val="20"/>
          <w:szCs w:val="20"/>
          <w:lang w:eastAsia="es-ES"/>
        </w:rPr>
      </w:pPr>
    </w:p>
    <w:p w:rsidR="0085327D" w:rsidRPr="006037F5" w:rsidRDefault="0085327D" w:rsidP="002367EE">
      <w:pPr>
        <w:pStyle w:val="Default"/>
        <w:tabs>
          <w:tab w:val="left" w:pos="284"/>
        </w:tabs>
        <w:ind w:left="284" w:right="334"/>
        <w:jc w:val="both"/>
        <w:rPr>
          <w:b/>
          <w:iCs/>
          <w:color w:val="FF0000"/>
          <w:sz w:val="20"/>
          <w:szCs w:val="20"/>
          <w:lang w:eastAsia="es-ES"/>
        </w:rPr>
      </w:pPr>
      <w:r>
        <w:rPr>
          <w:b/>
          <w:iCs/>
          <w:color w:val="FF0000"/>
          <w:sz w:val="20"/>
          <w:szCs w:val="20"/>
          <w:lang w:eastAsia="es-ES"/>
        </w:rPr>
        <w:t>Relacionar recurso de reposicion7 subsidio presentado con anterioridad por la decisión emitida por el CRA.</w:t>
      </w:r>
    </w:p>
    <w:p w:rsidR="006037F5" w:rsidRPr="002F5750" w:rsidRDefault="006037F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</w:p>
    <w:p w:rsidR="002367EE" w:rsidRPr="002F5750" w:rsidRDefault="002367EE" w:rsidP="002367EE">
      <w:pPr>
        <w:ind w:left="284" w:right="334"/>
        <w:jc w:val="both"/>
        <w:rPr>
          <w:rFonts w:ascii="Arial" w:hAnsi="Arial" w:cs="Arial"/>
          <w:b/>
          <w:iCs/>
        </w:rPr>
      </w:pPr>
      <w:r w:rsidRPr="002F5750">
        <w:rPr>
          <w:rFonts w:ascii="Arial" w:hAnsi="Arial" w:cs="Arial"/>
          <w:iCs/>
          <w:lang w:eastAsia="es-CO"/>
        </w:rPr>
        <w:t>Es así, co</w:t>
      </w:r>
      <w:r w:rsidR="006037F5">
        <w:rPr>
          <w:rFonts w:ascii="Arial" w:hAnsi="Arial" w:cs="Arial"/>
          <w:iCs/>
          <w:lang w:eastAsia="es-CO"/>
        </w:rPr>
        <w:t xml:space="preserve">mo le informamos </w:t>
      </w:r>
      <w:r w:rsidRPr="002F5750">
        <w:rPr>
          <w:rFonts w:ascii="Arial" w:hAnsi="Arial" w:cs="Arial"/>
          <w:iCs/>
          <w:lang w:eastAsia="es-CO"/>
        </w:rPr>
        <w:t xml:space="preserve"> la imposibilidad para Administración pronunciarse nuevamente por los mismos hechos, ya que su requerimiento fue atendido en debida forma, agotando el recurso de Reposición (competente para esta dependencia) e</w:t>
      </w:r>
      <w:r w:rsidRPr="002F5750">
        <w:rPr>
          <w:rFonts w:ascii="Arial" w:hAnsi="Arial" w:cs="Arial"/>
        </w:rPr>
        <w:t xml:space="preserve">n contra </w:t>
      </w:r>
      <w:r w:rsidR="001C69E5" w:rsidRPr="002F5750">
        <w:rPr>
          <w:rFonts w:ascii="Arial" w:hAnsi="Arial" w:cs="Arial"/>
        </w:rPr>
        <w:t xml:space="preserve">del ACTA </w:t>
      </w:r>
      <w:r w:rsidR="006037F5">
        <w:rPr>
          <w:rFonts w:ascii="Arial" w:hAnsi="Arial" w:cs="Arial"/>
        </w:rPr>
        <w:t>(…….)</w:t>
      </w:r>
      <w:r w:rsidR="001C69E5" w:rsidRPr="002F5750">
        <w:rPr>
          <w:rFonts w:ascii="Arial" w:hAnsi="Arial" w:cs="Arial"/>
        </w:rPr>
        <w:t xml:space="preserve"> confirmada en la </w:t>
      </w:r>
      <w:r w:rsidR="001C69E5" w:rsidRPr="002F5750">
        <w:rPr>
          <w:rFonts w:ascii="Arial" w:hAnsi="Arial" w:cs="Arial"/>
          <w:iCs/>
        </w:rPr>
        <w:t xml:space="preserve">ACTA </w:t>
      </w:r>
      <w:r w:rsidR="006037F5">
        <w:rPr>
          <w:rFonts w:ascii="Arial" w:hAnsi="Arial" w:cs="Arial"/>
          <w:iCs/>
        </w:rPr>
        <w:t>(…..)</w:t>
      </w:r>
      <w:r w:rsidR="001C69E5" w:rsidRPr="002F5750">
        <w:rPr>
          <w:rFonts w:ascii="Arial" w:hAnsi="Arial" w:cs="Arial"/>
          <w:iCs/>
        </w:rPr>
        <w:t>, en instancia de reposición</w:t>
      </w:r>
      <w:r w:rsidRPr="002F5750">
        <w:rPr>
          <w:rFonts w:ascii="Arial" w:hAnsi="Arial" w:cs="Arial"/>
          <w:b/>
          <w:iCs/>
        </w:rPr>
        <w:t>, quedando agotaba en forma legal la VÍA GUBERNATIVA.</w:t>
      </w:r>
    </w:p>
    <w:p w:rsidR="002367EE" w:rsidRPr="002F5750" w:rsidRDefault="002367EE" w:rsidP="00421F6D">
      <w:pPr>
        <w:ind w:left="284" w:right="334"/>
        <w:jc w:val="both"/>
        <w:rPr>
          <w:rFonts w:ascii="Arial" w:hAnsi="Arial" w:cs="Arial"/>
          <w:iCs/>
        </w:rPr>
      </w:pPr>
    </w:p>
    <w:p w:rsidR="002367EE" w:rsidRPr="002F5750" w:rsidRDefault="002367EE" w:rsidP="002367EE">
      <w:pPr>
        <w:pStyle w:val="Prrafodelista"/>
        <w:tabs>
          <w:tab w:val="left" w:pos="426"/>
        </w:tabs>
        <w:ind w:left="284" w:right="334"/>
        <w:jc w:val="both"/>
        <w:rPr>
          <w:rFonts w:ascii="Arial" w:hAnsi="Arial" w:cs="Arial"/>
        </w:rPr>
      </w:pPr>
      <w:r w:rsidRPr="002F5750">
        <w:rPr>
          <w:rFonts w:ascii="Arial" w:hAnsi="Arial" w:cs="Arial"/>
        </w:rPr>
        <w:t xml:space="preserve">De igual forma se debe señalar que el acto administrativo recurrido, ya fue valorado y notificado, según se puede evidenciar y más aun estableciendo a que el declarante ya conoce del mismo, puesto que hasta manifestó inconformidad frente al mismo, </w:t>
      </w:r>
      <w:r w:rsidR="001C69E5" w:rsidRPr="002F5750">
        <w:rPr>
          <w:rFonts w:ascii="Arial" w:hAnsi="Arial" w:cs="Arial"/>
        </w:rPr>
        <w:t>la solicitud de reconsideración del 10 de agosto de 2015</w:t>
      </w:r>
      <w:r w:rsidRPr="002F5750">
        <w:rPr>
          <w:rFonts w:ascii="Arial" w:hAnsi="Arial" w:cs="Arial"/>
        </w:rPr>
        <w:t>, como un Acto Administrativo en firme e</w:t>
      </w:r>
      <w:r w:rsidR="006037F5">
        <w:rPr>
          <w:rFonts w:ascii="Arial" w:hAnsi="Arial" w:cs="Arial"/>
        </w:rPr>
        <w:t>l cual según lo establece el CP</w:t>
      </w:r>
      <w:r w:rsidRPr="002F5750">
        <w:rPr>
          <w:rFonts w:ascii="Arial" w:hAnsi="Arial" w:cs="Arial"/>
        </w:rPr>
        <w:t>CA – Ley 1437 de 2011, se considera como tal en los siguiente términos</w:t>
      </w:r>
      <w:r w:rsidRPr="002F5750">
        <w:rPr>
          <w:rFonts w:ascii="Arial" w:hAnsi="Arial" w:cs="Arial"/>
          <w:b/>
        </w:rPr>
        <w:t>: “</w:t>
      </w:r>
      <w:r w:rsidRPr="002F5750">
        <w:rPr>
          <w:rFonts w:ascii="Arial" w:hAnsi="Arial" w:cs="Arial"/>
          <w:b/>
          <w:i/>
        </w:rPr>
        <w:t xml:space="preserve">Artículo </w:t>
      </w:r>
      <w:r w:rsidR="006037F5">
        <w:rPr>
          <w:rFonts w:ascii="Arial" w:hAnsi="Arial" w:cs="Arial"/>
          <w:b/>
          <w:i/>
        </w:rPr>
        <w:t>62</w:t>
      </w:r>
      <w:r w:rsidRPr="002F5750">
        <w:rPr>
          <w:rFonts w:ascii="Arial" w:hAnsi="Arial" w:cs="Arial"/>
          <w:b/>
          <w:i/>
        </w:rPr>
        <w:t>. Firmeza de los actos administrativos</w:t>
      </w:r>
      <w:r w:rsidRPr="002F5750">
        <w:rPr>
          <w:rFonts w:ascii="Arial" w:hAnsi="Arial" w:cs="Arial"/>
          <w:i/>
        </w:rPr>
        <w:t xml:space="preserve">. Los actos administrativos quedarán en firme: 1. Cuando contra </w:t>
      </w:r>
      <w:r w:rsidR="006037F5">
        <w:rPr>
          <w:rFonts w:ascii="Arial" w:hAnsi="Arial" w:cs="Arial"/>
          <w:i/>
        </w:rPr>
        <w:t>ellos no proceda ningún recurso</w:t>
      </w:r>
      <w:r w:rsidRPr="002F5750">
        <w:rPr>
          <w:rFonts w:ascii="Arial" w:hAnsi="Arial" w:cs="Arial"/>
          <w:i/>
        </w:rPr>
        <w:t>.”</w:t>
      </w:r>
    </w:p>
    <w:p w:rsidR="002367EE" w:rsidRPr="002F5750" w:rsidRDefault="002367EE" w:rsidP="002367EE">
      <w:pPr>
        <w:pStyle w:val="Prrafodelista"/>
        <w:tabs>
          <w:tab w:val="left" w:pos="426"/>
          <w:tab w:val="left" w:pos="9072"/>
        </w:tabs>
        <w:ind w:left="284" w:right="334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67EE" w:rsidRPr="002F5750" w:rsidRDefault="002367EE" w:rsidP="002367EE">
      <w:pPr>
        <w:tabs>
          <w:tab w:val="left" w:pos="426"/>
        </w:tabs>
        <w:ind w:left="284" w:right="334"/>
        <w:jc w:val="both"/>
        <w:rPr>
          <w:rFonts w:ascii="Arial" w:hAnsi="Arial" w:cs="Arial"/>
          <w:i/>
          <w:iCs/>
        </w:rPr>
      </w:pPr>
      <w:r w:rsidRPr="002F5750">
        <w:rPr>
          <w:rFonts w:ascii="Arial" w:hAnsi="Arial" w:cs="Arial"/>
          <w:iCs/>
        </w:rPr>
        <w:t xml:space="preserve">Frente a lo señalado por esta Entidad </w:t>
      </w:r>
      <w:r w:rsidR="006037F5">
        <w:rPr>
          <w:rFonts w:ascii="Arial" w:hAnsi="Arial" w:cs="Arial"/>
          <w:iCs/>
        </w:rPr>
        <w:t xml:space="preserve">de los apartes anteriores del </w:t>
      </w:r>
      <w:r w:rsidRPr="002F5750">
        <w:rPr>
          <w:rFonts w:ascii="Arial" w:hAnsi="Arial" w:cs="Arial"/>
          <w:iCs/>
        </w:rPr>
        <w:t xml:space="preserve"> Artículos </w:t>
      </w:r>
      <w:r w:rsidR="006037F5">
        <w:rPr>
          <w:rFonts w:ascii="Arial" w:hAnsi="Arial" w:cs="Arial"/>
          <w:iCs/>
        </w:rPr>
        <w:t>52  del Decreto 01 de 1984</w:t>
      </w:r>
      <w:r w:rsidRPr="002F5750">
        <w:rPr>
          <w:rFonts w:ascii="Arial" w:hAnsi="Arial" w:cs="Arial"/>
          <w:iCs/>
        </w:rPr>
        <w:t xml:space="preserve"> resulta procedente indicar </w:t>
      </w:r>
      <w:r w:rsidRPr="002F5750">
        <w:rPr>
          <w:rFonts w:ascii="Arial" w:hAnsi="Arial" w:cs="Arial"/>
          <w:i/>
          <w:iCs/>
        </w:rPr>
        <w:t>el presente recurso debe rechazarse, en virtud a que</w:t>
      </w:r>
      <w:r w:rsidR="006037F5">
        <w:rPr>
          <w:rFonts w:ascii="Arial" w:hAnsi="Arial" w:cs="Arial"/>
          <w:i/>
          <w:iCs/>
        </w:rPr>
        <w:t xml:space="preserve"> la vía gubernativa fue agotada con anterioridad</w:t>
      </w:r>
      <w:r w:rsidRPr="002F5750">
        <w:rPr>
          <w:rFonts w:ascii="Arial" w:hAnsi="Arial" w:cs="Arial"/>
          <w:i/>
          <w:iCs/>
        </w:rPr>
        <w:t>.</w:t>
      </w:r>
    </w:p>
    <w:p w:rsidR="002367EE" w:rsidRPr="002F5750" w:rsidRDefault="002367EE" w:rsidP="00421F6D">
      <w:pPr>
        <w:ind w:left="284" w:right="334"/>
        <w:jc w:val="both"/>
        <w:rPr>
          <w:rFonts w:ascii="Arial" w:hAnsi="Arial" w:cs="Arial"/>
          <w:iCs/>
        </w:rPr>
      </w:pPr>
    </w:p>
    <w:p w:rsidR="00F85B39" w:rsidRPr="002F5750" w:rsidRDefault="00F85B39" w:rsidP="00EC5892">
      <w:pPr>
        <w:ind w:left="284" w:right="334"/>
        <w:jc w:val="both"/>
        <w:rPr>
          <w:rStyle w:val="nfasis"/>
          <w:rFonts w:ascii="Arial" w:hAnsi="Arial" w:cs="Arial"/>
          <w:i w:val="0"/>
        </w:rPr>
      </w:pPr>
      <w:r w:rsidRPr="002F5750">
        <w:rPr>
          <w:rStyle w:val="nfasis"/>
          <w:rFonts w:ascii="Arial" w:hAnsi="Arial" w:cs="Arial"/>
          <w:i w:val="0"/>
        </w:rPr>
        <w:t>En mérito de lo expuesto, est</w:t>
      </w:r>
      <w:r w:rsidR="0033039E" w:rsidRPr="002F5750">
        <w:rPr>
          <w:rStyle w:val="nfasis"/>
          <w:rFonts w:ascii="Arial" w:hAnsi="Arial" w:cs="Arial"/>
          <w:i w:val="0"/>
        </w:rPr>
        <w:t>a  Dirección</w:t>
      </w:r>
      <w:r w:rsidRPr="002F5750">
        <w:rPr>
          <w:rStyle w:val="nfasis"/>
          <w:rFonts w:ascii="Arial" w:hAnsi="Arial" w:cs="Arial"/>
          <w:i w:val="0"/>
        </w:rPr>
        <w:t>,</w:t>
      </w: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>RESUELVE:</w:t>
      </w:r>
    </w:p>
    <w:p w:rsidR="0033039E" w:rsidRPr="002F5750" w:rsidRDefault="0033039E" w:rsidP="00EC5892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2F5750">
      <w:pPr>
        <w:ind w:left="2832" w:right="334" w:hanging="2548"/>
        <w:jc w:val="both"/>
        <w:rPr>
          <w:rFonts w:ascii="Arial" w:hAnsi="Arial" w:cs="Arial"/>
        </w:rPr>
      </w:pPr>
      <w:r w:rsidRPr="002F5750">
        <w:rPr>
          <w:rFonts w:ascii="Arial" w:hAnsi="Arial" w:cs="Arial"/>
          <w:b/>
        </w:rPr>
        <w:t>ARTÍCULO PRIMERO:</w:t>
      </w:r>
      <w:r w:rsidRPr="002F5750">
        <w:rPr>
          <w:rFonts w:ascii="Arial" w:hAnsi="Arial" w:cs="Arial"/>
        </w:rPr>
        <w:t xml:space="preserve"> </w:t>
      </w:r>
      <w:r w:rsidRPr="002F5750">
        <w:rPr>
          <w:rFonts w:ascii="Arial" w:hAnsi="Arial" w:cs="Arial"/>
        </w:rPr>
        <w:tab/>
      </w:r>
      <w:r w:rsidRPr="002F5750">
        <w:rPr>
          <w:rFonts w:ascii="Arial" w:hAnsi="Arial" w:cs="Arial"/>
          <w:b/>
        </w:rPr>
        <w:t>RECHAZAR</w:t>
      </w:r>
      <w:r w:rsidRPr="002F5750">
        <w:rPr>
          <w:rFonts w:ascii="Arial" w:hAnsi="Arial" w:cs="Arial"/>
        </w:rPr>
        <w:t xml:space="preserve"> </w:t>
      </w:r>
      <w:r w:rsidR="006037F5">
        <w:rPr>
          <w:rFonts w:ascii="Arial" w:hAnsi="Arial" w:cs="Arial"/>
        </w:rPr>
        <w:t>la solicitud de reconsideración</w:t>
      </w:r>
      <w:r w:rsidRPr="002F5750">
        <w:rPr>
          <w:rFonts w:ascii="Arial" w:hAnsi="Arial" w:cs="Arial"/>
        </w:rPr>
        <w:t xml:space="preserve"> interpuesto por </w:t>
      </w:r>
      <w:proofErr w:type="spellStart"/>
      <w:r w:rsidR="006037F5">
        <w:rPr>
          <w:rFonts w:ascii="Arial" w:hAnsi="Arial" w:cs="Arial"/>
        </w:rPr>
        <w:t>xxxxxxxxxxxxxxx</w:t>
      </w:r>
      <w:proofErr w:type="spellEnd"/>
      <w:r w:rsidRPr="002F5750">
        <w:rPr>
          <w:rFonts w:ascii="Arial" w:hAnsi="Arial" w:cs="Arial"/>
          <w:b/>
        </w:rPr>
        <w:t xml:space="preserve">, </w:t>
      </w:r>
      <w:r w:rsidRPr="002F5750">
        <w:rPr>
          <w:rFonts w:ascii="Arial" w:hAnsi="Arial" w:cs="Arial"/>
        </w:rPr>
        <w:t>identificado con la Cédula de Ciudadanía No.</w:t>
      </w:r>
      <w:r w:rsidRPr="002F5750">
        <w:rPr>
          <w:rFonts w:ascii="Arial" w:hAnsi="Arial" w:cs="Arial"/>
          <w:b/>
        </w:rPr>
        <w:t xml:space="preserve"> </w:t>
      </w:r>
      <w:proofErr w:type="spellStart"/>
      <w:r w:rsidR="006037F5">
        <w:rPr>
          <w:rFonts w:ascii="Arial" w:hAnsi="Arial" w:cs="Arial"/>
          <w:b/>
        </w:rPr>
        <w:t>xxxxxxxxxxxx</w:t>
      </w:r>
      <w:proofErr w:type="spellEnd"/>
      <w:r w:rsidRPr="002F5750">
        <w:rPr>
          <w:rFonts w:ascii="Arial" w:hAnsi="Arial" w:cs="Arial"/>
          <w:b/>
        </w:rPr>
        <w:t>,</w:t>
      </w:r>
      <w:r w:rsidRPr="002F5750">
        <w:rPr>
          <w:rFonts w:ascii="Arial" w:hAnsi="Arial" w:cs="Arial"/>
          <w:bCs/>
        </w:rPr>
        <w:t xml:space="preserve"> por lo expuesto en el presente Acto Administrativo.</w:t>
      </w:r>
    </w:p>
    <w:p w:rsidR="002F5750" w:rsidRPr="002F5750" w:rsidRDefault="002F5750" w:rsidP="002F5750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2F5750">
      <w:pPr>
        <w:suppressAutoHyphens/>
        <w:ind w:left="2832" w:right="334" w:hanging="2548"/>
        <w:jc w:val="both"/>
        <w:rPr>
          <w:rFonts w:ascii="Arial" w:hAnsi="Arial" w:cs="Arial"/>
        </w:rPr>
      </w:pPr>
      <w:r w:rsidRPr="002F5750">
        <w:rPr>
          <w:rFonts w:ascii="Arial" w:hAnsi="Arial" w:cs="Arial"/>
          <w:b/>
        </w:rPr>
        <w:t>ARTÍCULO SEGUNDO:</w:t>
      </w:r>
      <w:r w:rsidRPr="002F5750">
        <w:rPr>
          <w:rFonts w:ascii="Arial" w:hAnsi="Arial" w:cs="Arial"/>
        </w:rPr>
        <w:t xml:space="preserve"> </w:t>
      </w:r>
      <w:r w:rsidRPr="002F5750">
        <w:rPr>
          <w:rFonts w:ascii="Arial" w:hAnsi="Arial" w:cs="Arial"/>
        </w:rPr>
        <w:tab/>
        <w:t xml:space="preserve">Contra el presente Acto procede el </w:t>
      </w:r>
      <w:r w:rsidRPr="002F5750">
        <w:rPr>
          <w:rFonts w:ascii="Arial" w:hAnsi="Arial" w:cs="Arial"/>
          <w:i/>
        </w:rPr>
        <w:t>Recurso de Queja</w:t>
      </w:r>
      <w:r w:rsidRPr="002F5750">
        <w:rPr>
          <w:rFonts w:ascii="Arial" w:hAnsi="Arial" w:cs="Arial"/>
        </w:rPr>
        <w:t xml:space="preserve"> ante el superior jerárquico, el cual debe interponerse durante los cinco (5) días siguientes a la notificación la presente resolución.</w:t>
      </w:r>
    </w:p>
    <w:p w:rsidR="002F5750" w:rsidRPr="002F5750" w:rsidRDefault="002F5750" w:rsidP="002F5750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2F5750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2F5750">
      <w:pPr>
        <w:ind w:left="2832" w:right="334" w:hanging="2548"/>
        <w:jc w:val="both"/>
        <w:rPr>
          <w:rFonts w:ascii="Arial" w:hAnsi="Arial" w:cs="Arial"/>
        </w:rPr>
      </w:pPr>
      <w:r w:rsidRPr="002F5750">
        <w:rPr>
          <w:rFonts w:ascii="Arial" w:hAnsi="Arial" w:cs="Arial"/>
          <w:b/>
        </w:rPr>
        <w:t>ARTÍCULO TERCERO:</w:t>
      </w:r>
      <w:r w:rsidRPr="002F5750">
        <w:rPr>
          <w:rFonts w:ascii="Arial" w:hAnsi="Arial" w:cs="Arial"/>
        </w:rPr>
        <w:t xml:space="preserve"> </w:t>
      </w:r>
      <w:r w:rsidRPr="002F5750">
        <w:rPr>
          <w:rFonts w:ascii="Arial" w:hAnsi="Arial" w:cs="Arial"/>
        </w:rPr>
        <w:tab/>
      </w:r>
      <w:r w:rsidRPr="002F5750">
        <w:rPr>
          <w:rFonts w:ascii="Arial" w:hAnsi="Arial" w:cs="Arial"/>
          <w:b/>
        </w:rPr>
        <w:t xml:space="preserve">Notificar </w:t>
      </w:r>
      <w:r w:rsidRPr="002F5750">
        <w:rPr>
          <w:rFonts w:ascii="Arial" w:hAnsi="Arial" w:cs="Arial"/>
        </w:rPr>
        <w:t>el contenido de este acto, de conformidad con lo previsto en los artículos 44 y 45 del Código Contencioso Administrativo (Decreto 01 de 1984).</w:t>
      </w:r>
    </w:p>
    <w:p w:rsidR="0033039E" w:rsidRPr="002F5750" w:rsidRDefault="0033039E" w:rsidP="00EC5892">
      <w:pPr>
        <w:ind w:left="284" w:right="334"/>
        <w:jc w:val="both"/>
        <w:rPr>
          <w:rFonts w:ascii="Arial" w:hAnsi="Arial" w:cs="Arial"/>
          <w:bCs/>
        </w:rPr>
      </w:pP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>NOTIFÍQUESE Y CÚMPLASE</w:t>
      </w: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 xml:space="preserve">Dada en Bogotá D.C., a los </w:t>
      </w:r>
      <w:proofErr w:type="spellStart"/>
      <w:r w:rsidR="006037F5">
        <w:rPr>
          <w:rFonts w:ascii="Arial" w:hAnsi="Arial" w:cs="Arial"/>
          <w:b/>
        </w:rPr>
        <w:t>xxxx</w:t>
      </w:r>
      <w:proofErr w:type="spellEnd"/>
      <w:r w:rsidR="002F5750" w:rsidRPr="002F5750">
        <w:rPr>
          <w:rFonts w:ascii="Arial" w:hAnsi="Arial" w:cs="Arial"/>
          <w:b/>
        </w:rPr>
        <w:t xml:space="preserve"> </w:t>
      </w:r>
      <w:r w:rsidR="006037F5">
        <w:rPr>
          <w:rFonts w:ascii="Arial" w:hAnsi="Arial" w:cs="Arial"/>
          <w:b/>
        </w:rPr>
        <w:t xml:space="preserve">días del mes de </w:t>
      </w:r>
      <w:proofErr w:type="spellStart"/>
      <w:r w:rsidR="006037F5">
        <w:rPr>
          <w:rFonts w:ascii="Arial" w:hAnsi="Arial" w:cs="Arial"/>
          <w:b/>
        </w:rPr>
        <w:t>xxxxx</w:t>
      </w:r>
      <w:proofErr w:type="spellEnd"/>
      <w:r w:rsidR="006037F5">
        <w:rPr>
          <w:rFonts w:ascii="Arial" w:hAnsi="Arial" w:cs="Arial"/>
          <w:b/>
        </w:rPr>
        <w:t xml:space="preserve"> </w:t>
      </w:r>
      <w:r w:rsidR="002F5750" w:rsidRPr="002F5750">
        <w:rPr>
          <w:rFonts w:ascii="Arial" w:hAnsi="Arial" w:cs="Arial"/>
          <w:b/>
        </w:rPr>
        <w:t xml:space="preserve">de </w:t>
      </w:r>
      <w:proofErr w:type="spellStart"/>
      <w:r w:rsidR="006037F5">
        <w:rPr>
          <w:rFonts w:ascii="Arial" w:hAnsi="Arial" w:cs="Arial"/>
          <w:b/>
        </w:rPr>
        <w:t>xxxx</w:t>
      </w:r>
      <w:proofErr w:type="spellEnd"/>
    </w:p>
    <w:p w:rsidR="00286C4F" w:rsidRPr="002F5750" w:rsidRDefault="00286C4F" w:rsidP="00EC5892">
      <w:pPr>
        <w:ind w:left="284" w:right="334"/>
        <w:jc w:val="center"/>
        <w:rPr>
          <w:rFonts w:ascii="Arial" w:hAnsi="Arial" w:cs="Arial"/>
          <w:b/>
        </w:rPr>
      </w:pPr>
    </w:p>
    <w:p w:rsidR="00286C4F" w:rsidRPr="002F5750" w:rsidRDefault="00286C4F" w:rsidP="00EC5892">
      <w:pPr>
        <w:ind w:left="284" w:right="334"/>
        <w:jc w:val="center"/>
        <w:rPr>
          <w:rFonts w:ascii="Arial" w:hAnsi="Arial" w:cs="Arial"/>
        </w:rPr>
      </w:pPr>
    </w:p>
    <w:p w:rsidR="00F85B39" w:rsidRDefault="00F85B39" w:rsidP="00EC5892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EC5892">
      <w:pPr>
        <w:ind w:left="284" w:right="334"/>
        <w:jc w:val="both"/>
        <w:rPr>
          <w:rFonts w:ascii="Arial" w:hAnsi="Arial" w:cs="Arial"/>
        </w:rPr>
      </w:pPr>
    </w:p>
    <w:p w:rsidR="00EF1F63" w:rsidRPr="002F5750" w:rsidRDefault="00EF1F63" w:rsidP="00EC5892">
      <w:pPr>
        <w:ind w:left="284" w:right="334"/>
        <w:jc w:val="both"/>
        <w:rPr>
          <w:rFonts w:ascii="Arial" w:hAnsi="Arial" w:cs="Arial"/>
        </w:rPr>
      </w:pP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</w:rPr>
      </w:pP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</w:rPr>
      </w:pPr>
    </w:p>
    <w:p w:rsidR="00F85B39" w:rsidRPr="002F5750" w:rsidRDefault="0033039E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>GLADYS CELEIDE PRADA PARDO</w:t>
      </w: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 xml:space="preserve">DIRECTORA TÉCNICA </w:t>
      </w:r>
      <w:r w:rsidRPr="002F5750">
        <w:rPr>
          <w:rFonts w:ascii="Arial" w:hAnsi="Arial" w:cs="Arial"/>
          <w:b/>
          <w:iCs/>
        </w:rPr>
        <w:t>DE REGISTRO Y GESTIÓN DE LA INFORMACIÓN DE LA UNIDAD PARA LA ATENCIÓN Y REPARACIÓN INTEGRAL A LAS VÍCTIMAS</w:t>
      </w:r>
    </w:p>
    <w:p w:rsidR="006037F5" w:rsidRDefault="006037F5" w:rsidP="00EC5892">
      <w:pPr>
        <w:ind w:left="284" w:right="334"/>
        <w:rPr>
          <w:rFonts w:ascii="Arial" w:hAnsi="Arial" w:cs="Arial"/>
          <w:i/>
          <w:sz w:val="12"/>
          <w:szCs w:val="12"/>
        </w:rPr>
      </w:pPr>
    </w:p>
    <w:p w:rsidR="00F85B39" w:rsidRPr="002F5750" w:rsidRDefault="00F85B39" w:rsidP="00EC5892">
      <w:pPr>
        <w:ind w:left="284" w:right="334"/>
        <w:rPr>
          <w:rFonts w:ascii="Arial" w:hAnsi="Arial" w:cs="Arial"/>
          <w:i/>
          <w:sz w:val="12"/>
          <w:szCs w:val="12"/>
        </w:rPr>
      </w:pPr>
      <w:r w:rsidRPr="002F5750">
        <w:rPr>
          <w:rFonts w:ascii="Arial" w:hAnsi="Arial" w:cs="Arial"/>
          <w:i/>
          <w:sz w:val="12"/>
          <w:szCs w:val="12"/>
        </w:rPr>
        <w:t xml:space="preserve">Proyectó: </w:t>
      </w:r>
      <w:proofErr w:type="spellStart"/>
      <w:r w:rsidR="006037F5">
        <w:rPr>
          <w:rFonts w:ascii="Arial" w:hAnsi="Arial" w:cs="Arial"/>
          <w:i/>
          <w:sz w:val="12"/>
          <w:szCs w:val="12"/>
        </w:rPr>
        <w:t>xxxxxxxxxx</w:t>
      </w:r>
      <w:proofErr w:type="spellEnd"/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  <w:sz w:val="12"/>
          <w:szCs w:val="12"/>
        </w:rPr>
        <w:sectPr w:rsidR="00F85B39" w:rsidRPr="002F5750" w:rsidSect="00CC70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8722" w:code="14"/>
          <w:pgMar w:top="2833" w:right="851" w:bottom="1134" w:left="851" w:header="720" w:footer="1701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20"/>
          <w:noEndnote/>
          <w:titlePg/>
          <w:docGrid w:linePitch="272"/>
        </w:sectPr>
      </w:pPr>
      <w:r w:rsidRPr="002F5750">
        <w:rPr>
          <w:rFonts w:ascii="Arial" w:hAnsi="Arial" w:cs="Arial"/>
          <w:i/>
          <w:sz w:val="12"/>
          <w:szCs w:val="12"/>
        </w:rPr>
        <w:t xml:space="preserve">Revisó y Aprobó: </w:t>
      </w:r>
      <w:proofErr w:type="spellStart"/>
      <w:r w:rsidR="0033039E" w:rsidRPr="002F5750">
        <w:rPr>
          <w:rFonts w:ascii="Arial" w:hAnsi="Arial" w:cs="Arial"/>
          <w:i/>
          <w:sz w:val="12"/>
          <w:szCs w:val="12"/>
        </w:rPr>
        <w:t>Marxia</w:t>
      </w:r>
      <w:proofErr w:type="spellEnd"/>
      <w:r w:rsidR="0033039E" w:rsidRPr="002F5750">
        <w:rPr>
          <w:rFonts w:ascii="Arial" w:hAnsi="Arial" w:cs="Arial"/>
          <w:i/>
          <w:sz w:val="12"/>
          <w:szCs w:val="12"/>
        </w:rPr>
        <w:t xml:space="preserve"> Bastida</w:t>
      </w:r>
      <w:r w:rsidR="00CD5CB4" w:rsidRPr="002F5750">
        <w:rPr>
          <w:rFonts w:ascii="Arial" w:hAnsi="Arial" w:cs="Arial"/>
          <w:i/>
          <w:sz w:val="12"/>
          <w:szCs w:val="12"/>
        </w:rPr>
        <w:t>s</w:t>
      </w:r>
    </w:p>
    <w:p w:rsidR="0015193D" w:rsidRPr="002F5750" w:rsidRDefault="0015193D" w:rsidP="00EC5892">
      <w:pPr>
        <w:ind w:left="284"/>
        <w:jc w:val="center"/>
        <w:rPr>
          <w:rFonts w:ascii="Arial" w:hAnsi="Arial" w:cs="Arial"/>
          <w:b/>
          <w:bCs/>
          <w:iCs/>
        </w:rPr>
      </w:pPr>
    </w:p>
    <w:p w:rsidR="0015193D" w:rsidRPr="002F5750" w:rsidRDefault="0015193D" w:rsidP="00EC5892">
      <w:pPr>
        <w:ind w:left="284"/>
        <w:jc w:val="center"/>
        <w:rPr>
          <w:rFonts w:ascii="Arial" w:hAnsi="Arial" w:cs="Arial"/>
          <w:b/>
          <w:bCs/>
          <w:iCs/>
        </w:rPr>
      </w:pPr>
    </w:p>
    <w:p w:rsidR="00F85B39" w:rsidRPr="002F5750" w:rsidRDefault="00F85B39" w:rsidP="00EC5892">
      <w:pPr>
        <w:ind w:left="284" w:right="334"/>
        <w:rPr>
          <w:rFonts w:ascii="Arial" w:hAnsi="Arial" w:cs="Arial"/>
          <w:b/>
          <w:sz w:val="19"/>
          <w:szCs w:val="19"/>
        </w:rPr>
      </w:pPr>
    </w:p>
    <w:sectPr w:rsidR="00F85B39" w:rsidRPr="002F5750" w:rsidSect="00EA2AD0">
      <w:headerReference w:type="default" r:id="rId14"/>
      <w:pgSz w:w="11906" w:h="16838"/>
      <w:pgMar w:top="1809" w:right="92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597" w:rsidRDefault="00560597">
      <w:r>
        <w:separator/>
      </w:r>
    </w:p>
  </w:endnote>
  <w:endnote w:type="continuationSeparator" w:id="0">
    <w:p w:rsidR="00560597" w:rsidRDefault="0056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14" w:rsidRDefault="008E1B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14" w:rsidRDefault="008E1B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14" w:rsidRDefault="008E1B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597" w:rsidRDefault="00560597">
      <w:r>
        <w:separator/>
      </w:r>
    </w:p>
  </w:footnote>
  <w:footnote w:type="continuationSeparator" w:id="0">
    <w:p w:rsidR="00560597" w:rsidRDefault="0056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14" w:rsidRDefault="008E1B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96"/>
    </w:tblGrid>
    <w:tr w:rsidR="00F85B39" w:rsidTr="00C022D3">
      <w:trPr>
        <w:trHeight w:val="2109"/>
      </w:trPr>
      <w:tc>
        <w:tcPr>
          <w:tcW w:w="10596" w:type="dxa"/>
        </w:tcPr>
        <w:p w:rsidR="00F85B39" w:rsidRDefault="00286C4F" w:rsidP="000E4222">
          <w:pPr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3DC6D456" wp14:editId="0FCCC235">
                <wp:extent cx="4291965" cy="847725"/>
                <wp:effectExtent l="0" t="0" r="0" b="9525"/>
                <wp:docPr id="91" name="Imagen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196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F85B39" w:rsidRPr="00CC70B9" w:rsidRDefault="00F85B39" w:rsidP="0085327D">
          <w:pPr>
            <w:pBdr>
              <w:bottom w:val="single" w:sz="6" w:space="1" w:color="auto"/>
            </w:pBdr>
            <w:jc w:val="center"/>
            <w:rPr>
              <w:rFonts w:ascii="Arial" w:hAnsi="Arial" w:cs="Arial"/>
              <w:i/>
              <w:sz w:val="18"/>
              <w:szCs w:val="18"/>
              <w:lang w:val="es-ES"/>
            </w:rPr>
          </w:pPr>
          <w:r w:rsidRPr="00084F30">
            <w:rPr>
              <w:rFonts w:ascii="Arial" w:hAnsi="Arial" w:cs="Arial"/>
              <w:sz w:val="18"/>
              <w:szCs w:val="18"/>
            </w:rPr>
            <w:t>Hoja número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864E7E">
            <w:rPr>
              <w:rFonts w:ascii="Arial" w:hAnsi="Arial" w:cs="Arial"/>
              <w:sz w:val="18"/>
              <w:szCs w:val="18"/>
            </w:rPr>
            <w:fldChar w:fldCharType="begin"/>
          </w:r>
          <w:r w:rsidRPr="00864E7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864E7E">
            <w:rPr>
              <w:rFonts w:ascii="Arial" w:hAnsi="Arial" w:cs="Arial"/>
              <w:sz w:val="18"/>
              <w:szCs w:val="18"/>
            </w:rPr>
            <w:fldChar w:fldCharType="separate"/>
          </w:r>
          <w:r w:rsidR="00656DA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864E7E"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084F30">
            <w:rPr>
              <w:rFonts w:ascii="Arial" w:hAnsi="Arial" w:cs="Arial"/>
              <w:sz w:val="18"/>
              <w:szCs w:val="18"/>
            </w:rPr>
            <w:t xml:space="preserve"> </w:t>
          </w:r>
          <w:r w:rsidRPr="00864E7E">
            <w:rPr>
              <w:rFonts w:ascii="Arial" w:hAnsi="Arial" w:cs="Arial"/>
              <w:sz w:val="18"/>
              <w:szCs w:val="18"/>
              <w:lang w:val="es-ES"/>
            </w:rPr>
            <w:t xml:space="preserve">de la </w:t>
          </w:r>
          <w:r w:rsidR="002F5750" w:rsidRPr="002F5750">
            <w:rPr>
              <w:rFonts w:ascii="Arial" w:hAnsi="Arial" w:cs="Arial"/>
              <w:sz w:val="18"/>
              <w:szCs w:val="18"/>
              <w:lang w:val="es-ES"/>
            </w:rPr>
            <w:t xml:space="preserve">RESOLUCIÓN Nº </w:t>
          </w:r>
          <w:proofErr w:type="spellStart"/>
          <w:r w:rsidR="0085327D">
            <w:rPr>
              <w:rFonts w:ascii="Arial" w:hAnsi="Arial" w:cs="Arial"/>
              <w:sz w:val="18"/>
              <w:szCs w:val="18"/>
              <w:lang w:val="es-ES"/>
            </w:rPr>
            <w:t>xxxxxxxxxxx</w:t>
          </w:r>
          <w:proofErr w:type="spellEnd"/>
          <w:r w:rsidR="002F5750" w:rsidRPr="002F5750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proofErr w:type="spellStart"/>
          <w:r w:rsidR="0085327D">
            <w:rPr>
              <w:rFonts w:ascii="Arial" w:hAnsi="Arial" w:cs="Arial"/>
              <w:sz w:val="18"/>
              <w:szCs w:val="18"/>
              <w:lang w:val="es-ES"/>
            </w:rPr>
            <w:t>xxxxxxxxxxx</w:t>
          </w:r>
          <w:proofErr w:type="spellEnd"/>
          <w:r w:rsidR="002F5750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="007442A3">
            <w:rPr>
              <w:rFonts w:ascii="Arial" w:hAnsi="Arial" w:cs="Arial"/>
              <w:sz w:val="18"/>
              <w:szCs w:val="18"/>
              <w:lang w:val="es-ES"/>
            </w:rPr>
            <w:t>”</w:t>
          </w:r>
          <w:r w:rsidR="0085327D">
            <w:t xml:space="preserve"> </w:t>
          </w:r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Por la cual se decide solicitud de reconsideración  interpuesto contra el acta </w:t>
          </w:r>
          <w:proofErr w:type="spellStart"/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>xxxxxxxxxxxx</w:t>
          </w:r>
          <w:proofErr w:type="spellEnd"/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 expedida por el Comité de Reparaciones Administrativas por medio de la cual se decide no reconocer el </w:t>
          </w:r>
          <w:proofErr w:type="spellStart"/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>xxxxxxxxxx</w:t>
          </w:r>
          <w:proofErr w:type="spellEnd"/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 de (victima directa</w:t>
          </w:r>
          <w:r w:rsidR="0085327D">
            <w:rPr>
              <w:rFonts w:ascii="Arial" w:hAnsi="Arial" w:cs="Arial"/>
              <w:i/>
              <w:sz w:val="18"/>
              <w:szCs w:val="18"/>
              <w:lang w:val="es-ES"/>
            </w:rPr>
            <w:t>)</w:t>
          </w:r>
          <w:r w:rsidR="002F5750" w:rsidRPr="002F5750">
            <w:rPr>
              <w:rFonts w:ascii="Arial" w:hAnsi="Arial" w:cs="Arial"/>
              <w:i/>
              <w:sz w:val="18"/>
              <w:szCs w:val="18"/>
              <w:lang w:val="es-ES"/>
            </w:rPr>
            <w:t>.</w:t>
          </w:r>
        </w:p>
      </w:tc>
    </w:tr>
  </w:tbl>
  <w:p w:rsidR="00F85B39" w:rsidRDefault="00F85B39" w:rsidP="000E4222">
    <w:pPr>
      <w:pStyle w:val="Encabezado"/>
      <w:tabs>
        <w:tab w:val="clear" w:pos="4419"/>
        <w:tab w:val="clear" w:pos="8838"/>
        <w:tab w:val="left" w:pos="501"/>
      </w:tabs>
      <w:rPr>
        <w:sz w:val="2"/>
      </w:rPr>
    </w:pPr>
    <w:r>
      <w:rPr>
        <w:sz w:val="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39" w:rsidRDefault="00F85B39" w:rsidP="00864E7E">
    <w:pPr>
      <w:pStyle w:val="Encabezado"/>
      <w:jc w:val="center"/>
    </w:pPr>
  </w:p>
  <w:p w:rsidR="00D9218F" w:rsidRDefault="00D9218F" w:rsidP="00864E7E">
    <w:pPr>
      <w:pStyle w:val="Encabezado"/>
      <w:jc w:val="center"/>
      <w:rPr>
        <w:rFonts w:ascii="Arial" w:hAnsi="Arial" w:cs="Arial"/>
        <w:b/>
        <w:sz w:val="24"/>
        <w:szCs w:val="24"/>
        <w:lang w:val="es-ES"/>
      </w:rPr>
    </w:pPr>
  </w:p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50"/>
      <w:gridCol w:w="4658"/>
      <w:gridCol w:w="1798"/>
      <w:gridCol w:w="185"/>
      <w:gridCol w:w="994"/>
    </w:tblGrid>
    <w:tr w:rsidR="008E1B14" w:rsidRPr="008E1B14" w:rsidTr="008E1B14">
      <w:trPr>
        <w:trHeight w:val="300"/>
      </w:trPr>
      <w:tc>
        <w:tcPr>
          <w:tcW w:w="2850" w:type="dxa"/>
          <w:vMerge w:val="restart"/>
          <w:shd w:val="clear" w:color="auto" w:fill="auto"/>
          <w:noWrap/>
          <w:vAlign w:val="bottom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  <w:r w:rsidRPr="008E1B14">
            <w:rPr>
              <w:rFonts w:ascii="Calibri" w:hAnsi="Calibri" w:cs="Calibri"/>
              <w:noProof/>
              <w:color w:val="000000"/>
              <w:sz w:val="22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-91440</wp:posOffset>
                </wp:positionV>
                <wp:extent cx="1704975" cy="581025"/>
                <wp:effectExtent l="0" t="0" r="9525" b="9525"/>
                <wp:wrapNone/>
                <wp:docPr id="2" name="Imagen 2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25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</w:tblGrid>
          <w:tr w:rsidR="008E1B14" w:rsidRPr="008E1B14">
            <w:trPr>
              <w:trHeight w:val="244"/>
              <w:tblCellSpacing w:w="0" w:type="dxa"/>
            </w:trPr>
            <w:tc>
              <w:tcPr>
                <w:tcW w:w="268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8E1B14" w:rsidRPr="008E1B14" w:rsidRDefault="008E1B14" w:rsidP="008E1B14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Calibri" w:hAnsi="Calibri" w:cs="Calibri"/>
                    <w:color w:val="000000"/>
                    <w:lang w:val="es-MX" w:eastAsia="es-MX"/>
                  </w:rPr>
                </w:pPr>
                <w:r w:rsidRPr="008E1B14">
                  <w:rPr>
                    <w:rFonts w:ascii="Calibri" w:hAnsi="Calibri" w:cs="Calibri"/>
                    <w:color w:val="000000"/>
                    <w:lang w:val="es-MX" w:eastAsia="es-MX"/>
                  </w:rPr>
                  <w:t> </w:t>
                </w:r>
              </w:p>
            </w:tc>
          </w:tr>
          <w:tr w:rsidR="008E1B14" w:rsidRPr="008E1B14">
            <w:trPr>
              <w:trHeight w:val="244"/>
              <w:tblCellSpacing w:w="0" w:type="dxa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8E1B14" w:rsidRPr="008E1B14" w:rsidRDefault="008E1B14" w:rsidP="008E1B14">
                <w:pPr>
                  <w:widowControl/>
                  <w:overflowPunct/>
                  <w:autoSpaceDE/>
                  <w:autoSpaceDN/>
                  <w:adjustRightInd/>
                  <w:textAlignment w:val="auto"/>
                  <w:rPr>
                    <w:rFonts w:ascii="Calibri" w:hAnsi="Calibri" w:cs="Calibri"/>
                    <w:color w:val="000000"/>
                    <w:lang w:val="es-MX" w:eastAsia="es-MX"/>
                  </w:rPr>
                </w:pPr>
              </w:p>
            </w:tc>
          </w:tr>
        </w:tbl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658" w:type="dxa"/>
          <w:vMerge w:val="restart"/>
          <w:shd w:val="clear" w:color="auto" w:fill="auto"/>
          <w:vAlign w:val="center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8E1B14"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  <w:t>FORMATO RECHAZO RECONSIDERACIÓN</w:t>
          </w:r>
        </w:p>
      </w:tc>
      <w:tc>
        <w:tcPr>
          <w:tcW w:w="1798" w:type="dxa"/>
          <w:shd w:val="clear" w:color="auto" w:fill="auto"/>
          <w:noWrap/>
          <w:vAlign w:val="center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8E1B14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Código:</w:t>
          </w:r>
        </w:p>
      </w:tc>
      <w:tc>
        <w:tcPr>
          <w:tcW w:w="1179" w:type="dxa"/>
          <w:gridSpan w:val="2"/>
          <w:shd w:val="clear" w:color="auto" w:fill="auto"/>
          <w:noWrap/>
          <w:vAlign w:val="bottom"/>
          <w:hideMark/>
        </w:tcPr>
        <w:p w:rsidR="008E1B14" w:rsidRPr="008E1B14" w:rsidRDefault="00656DA9" w:rsidP="008E1B14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740.04.15-10</w:t>
          </w:r>
        </w:p>
      </w:tc>
    </w:tr>
    <w:tr w:rsidR="008E1B14" w:rsidRPr="008E1B14" w:rsidTr="008E1B14">
      <w:trPr>
        <w:trHeight w:val="300"/>
      </w:trPr>
      <w:tc>
        <w:tcPr>
          <w:tcW w:w="2850" w:type="dxa"/>
          <w:vMerge/>
          <w:vAlign w:val="center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658" w:type="dxa"/>
          <w:vMerge/>
          <w:vAlign w:val="center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1798" w:type="dxa"/>
          <w:shd w:val="clear" w:color="auto" w:fill="auto"/>
          <w:noWrap/>
          <w:vAlign w:val="center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8E1B14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Versión:</w:t>
          </w:r>
        </w:p>
      </w:tc>
      <w:tc>
        <w:tcPr>
          <w:tcW w:w="1179" w:type="dxa"/>
          <w:gridSpan w:val="2"/>
          <w:shd w:val="clear" w:color="auto" w:fill="auto"/>
          <w:noWrap/>
          <w:vAlign w:val="bottom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8E1B14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01</w:t>
          </w:r>
        </w:p>
      </w:tc>
    </w:tr>
    <w:tr w:rsidR="008E1B14" w:rsidRPr="008E1B14" w:rsidTr="008E1B14">
      <w:trPr>
        <w:trHeight w:val="300"/>
      </w:trPr>
      <w:tc>
        <w:tcPr>
          <w:tcW w:w="2850" w:type="dxa"/>
          <w:vMerge/>
          <w:vAlign w:val="center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658" w:type="dxa"/>
          <w:shd w:val="clear" w:color="auto" w:fill="auto"/>
          <w:noWrap/>
          <w:vAlign w:val="bottom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8E1B14"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  <w:t>PROCESO GESTION DE ATENCIÓN Y ORIENTACIÓN</w:t>
          </w:r>
        </w:p>
      </w:tc>
      <w:tc>
        <w:tcPr>
          <w:tcW w:w="1798" w:type="dxa"/>
          <w:shd w:val="clear" w:color="auto" w:fill="auto"/>
          <w:noWrap/>
          <w:vAlign w:val="center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8E1B14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Fecha de Aprobación:</w:t>
          </w:r>
        </w:p>
      </w:tc>
      <w:tc>
        <w:tcPr>
          <w:tcW w:w="1179" w:type="dxa"/>
          <w:gridSpan w:val="2"/>
          <w:shd w:val="clear" w:color="auto" w:fill="auto"/>
          <w:noWrap/>
          <w:vAlign w:val="bottom"/>
          <w:hideMark/>
        </w:tcPr>
        <w:p w:rsidR="008E1B14" w:rsidRPr="008E1B14" w:rsidRDefault="00656DA9" w:rsidP="008E1B14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14/10/2015</w:t>
          </w:r>
          <w:bookmarkStart w:id="0" w:name="_GoBack"/>
          <w:bookmarkEnd w:id="0"/>
        </w:p>
      </w:tc>
    </w:tr>
    <w:tr w:rsidR="008E1B14" w:rsidRPr="008E1B14" w:rsidTr="008E1B14">
      <w:trPr>
        <w:trHeight w:val="300"/>
      </w:trPr>
      <w:tc>
        <w:tcPr>
          <w:tcW w:w="2850" w:type="dxa"/>
          <w:vMerge/>
          <w:vAlign w:val="center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658" w:type="dxa"/>
          <w:shd w:val="clear" w:color="auto" w:fill="auto"/>
          <w:noWrap/>
          <w:vAlign w:val="bottom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8E1B14"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  <w:t>PROCEDIMIENTO TRAMITE RECURSOS DE REPOSICIÓN</w:t>
          </w:r>
        </w:p>
      </w:tc>
      <w:tc>
        <w:tcPr>
          <w:tcW w:w="1798" w:type="dxa"/>
          <w:shd w:val="clear" w:color="auto" w:fill="auto"/>
          <w:noWrap/>
          <w:vAlign w:val="center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proofErr w:type="spellStart"/>
          <w:r w:rsidRPr="008E1B14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Pág</w:t>
          </w:r>
          <w:proofErr w:type="spellEnd"/>
          <w:r w:rsidRPr="008E1B14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:</w:t>
          </w:r>
        </w:p>
      </w:tc>
      <w:tc>
        <w:tcPr>
          <w:tcW w:w="185" w:type="dxa"/>
          <w:tcBorders>
            <w:right w:val="nil"/>
          </w:tcBorders>
          <w:shd w:val="clear" w:color="auto" w:fill="auto"/>
          <w:noWrap/>
          <w:vAlign w:val="bottom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8E1B14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 </w:t>
          </w:r>
        </w:p>
      </w:tc>
      <w:tc>
        <w:tcPr>
          <w:tcW w:w="994" w:type="dxa"/>
          <w:tcBorders>
            <w:left w:val="nil"/>
          </w:tcBorders>
          <w:shd w:val="clear" w:color="auto" w:fill="auto"/>
          <w:noWrap/>
          <w:vAlign w:val="bottom"/>
          <w:hideMark/>
        </w:tcPr>
        <w:p w:rsidR="008E1B14" w:rsidRPr="008E1B14" w:rsidRDefault="008E1B14" w:rsidP="008E1B14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8E1B14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 xml:space="preserve">1 de 1  </w:t>
          </w:r>
        </w:p>
      </w:tc>
    </w:tr>
  </w:tbl>
  <w:p w:rsidR="00D9218F" w:rsidRDefault="00D9218F" w:rsidP="00D9218F">
    <w:pPr>
      <w:pStyle w:val="Encabezado"/>
      <w:jc w:val="center"/>
      <w:rPr>
        <w:rFonts w:ascii="Arial" w:hAnsi="Arial" w:cs="Arial"/>
        <w:b/>
        <w:sz w:val="24"/>
        <w:szCs w:val="24"/>
        <w:lang w:val="es-ES"/>
      </w:rPr>
    </w:pPr>
  </w:p>
  <w:p w:rsidR="002F5750" w:rsidRPr="0089594C" w:rsidRDefault="00F85B39" w:rsidP="0089594C">
    <w:pPr>
      <w:pStyle w:val="Encabezado"/>
      <w:jc w:val="center"/>
      <w:rPr>
        <w:rFonts w:ascii="Arial" w:hAnsi="Arial" w:cs="Arial"/>
        <w:b/>
        <w:color w:val="FF0000"/>
        <w:sz w:val="24"/>
        <w:szCs w:val="24"/>
        <w:lang w:val="es-ES"/>
      </w:rPr>
    </w:pPr>
    <w:r w:rsidRPr="005109EE">
      <w:rPr>
        <w:rFonts w:ascii="Arial" w:hAnsi="Arial" w:cs="Arial"/>
        <w:b/>
        <w:sz w:val="24"/>
        <w:szCs w:val="24"/>
        <w:lang w:val="es-ES"/>
      </w:rPr>
      <w:t xml:space="preserve">RESOLUCIÓN Nº </w:t>
    </w:r>
    <w:r w:rsidR="0089594C" w:rsidRPr="0089594C">
      <w:rPr>
        <w:rFonts w:ascii="Arial" w:hAnsi="Arial" w:cs="Arial"/>
        <w:b/>
        <w:sz w:val="24"/>
        <w:szCs w:val="24"/>
        <w:lang w:val="es-ES"/>
      </w:rPr>
      <w:t>(</w:t>
    </w:r>
    <w:r w:rsidR="0089594C" w:rsidRPr="0089594C">
      <w:rPr>
        <w:rFonts w:ascii="Arial" w:hAnsi="Arial" w:cs="Arial"/>
        <w:b/>
        <w:color w:val="FF0000"/>
        <w:sz w:val="24"/>
        <w:szCs w:val="24"/>
        <w:lang w:val="es-ES"/>
      </w:rPr>
      <w:t>No DEL RADICADO (1290 0 418</w:t>
    </w:r>
    <w:r w:rsidR="0089594C" w:rsidRPr="0089594C">
      <w:rPr>
        <w:rFonts w:ascii="Arial" w:hAnsi="Arial" w:cs="Arial"/>
        <w:b/>
        <w:sz w:val="24"/>
        <w:szCs w:val="24"/>
        <w:lang w:val="es-ES"/>
      </w:rPr>
      <w:t xml:space="preserve">)- </w:t>
    </w:r>
    <w:r w:rsidR="00421F6D">
      <w:rPr>
        <w:rFonts w:ascii="Arial" w:hAnsi="Arial" w:cs="Arial"/>
        <w:b/>
        <w:sz w:val="24"/>
        <w:szCs w:val="24"/>
        <w:lang w:val="es-ES"/>
      </w:rPr>
      <w:t xml:space="preserve"> DEL </w:t>
    </w:r>
    <w:r w:rsidR="0089594C">
      <w:rPr>
        <w:rFonts w:ascii="Arial" w:hAnsi="Arial" w:cs="Arial"/>
        <w:b/>
        <w:sz w:val="24"/>
        <w:szCs w:val="24"/>
        <w:lang w:val="es-ES"/>
      </w:rPr>
      <w:t>(</w:t>
    </w:r>
    <w:r w:rsidR="0089594C" w:rsidRPr="0089594C">
      <w:rPr>
        <w:rFonts w:ascii="Arial" w:hAnsi="Arial" w:cs="Arial"/>
        <w:b/>
        <w:color w:val="FF0000"/>
        <w:sz w:val="24"/>
        <w:szCs w:val="24"/>
        <w:lang w:val="es-ES"/>
      </w:rPr>
      <w:t>FECHA DE ELABORACION ACTO ADMINISTRATIVO)</w:t>
    </w:r>
  </w:p>
  <w:p w:rsidR="0089594C" w:rsidRDefault="0089594C" w:rsidP="0089594C">
    <w:pPr>
      <w:pStyle w:val="Encabezado"/>
      <w:jc w:val="center"/>
      <w:rPr>
        <w:rFonts w:ascii="Arial" w:hAnsi="Arial" w:cs="Arial"/>
        <w:b/>
        <w:sz w:val="24"/>
        <w:szCs w:val="24"/>
        <w:lang w:val="es-ES"/>
      </w:rPr>
    </w:pPr>
  </w:p>
  <w:p w:rsidR="0089594C" w:rsidRPr="0089594C" w:rsidRDefault="0089594C" w:rsidP="0089594C">
    <w:pPr>
      <w:pStyle w:val="Encabezado"/>
      <w:jc w:val="center"/>
      <w:rPr>
        <w:rFonts w:ascii="Arial" w:hAnsi="Arial" w:cs="Arial"/>
        <w:i/>
        <w:lang w:val="es-ES"/>
      </w:rPr>
    </w:pPr>
  </w:p>
  <w:p w:rsidR="00421F6D" w:rsidRDefault="0089594C" w:rsidP="0089594C">
    <w:pPr>
      <w:pStyle w:val="Encabezado"/>
      <w:jc w:val="center"/>
    </w:pPr>
    <w:r w:rsidRPr="0089594C">
      <w:rPr>
        <w:rFonts w:ascii="Arial" w:hAnsi="Arial" w:cs="Arial"/>
        <w:i/>
        <w:lang w:val="es-ES"/>
      </w:rPr>
      <w:t>“Por la cual se decide sobre  la solicitud de reconsideración  interpuesto contra el (acta  (…..) Expedida por el Comité de Reparaciones Administrativas en el marco de la solicitud administrativa por (</w:t>
    </w:r>
    <w:r w:rsidRPr="0089594C">
      <w:rPr>
        <w:rFonts w:ascii="Arial" w:hAnsi="Arial" w:cs="Arial"/>
        <w:b/>
        <w:i/>
        <w:color w:val="FF0000"/>
        <w:lang w:val="es-ES"/>
      </w:rPr>
      <w:t>HECHO DECLARADO.)</w:t>
    </w:r>
    <w:r w:rsidRPr="0089594C">
      <w:rPr>
        <w:rFonts w:ascii="Arial" w:hAnsi="Arial" w:cs="Arial"/>
        <w:i/>
        <w:color w:val="FF0000"/>
        <w:lang w:val="es-ES"/>
      </w:rPr>
      <w:t xml:space="preserve"> </w:t>
    </w:r>
    <w:r w:rsidRPr="0089594C">
      <w:rPr>
        <w:rFonts w:ascii="Arial" w:hAnsi="Arial" w:cs="Arial"/>
        <w:i/>
        <w:lang w:val="es-ES"/>
      </w:rPr>
      <w:t xml:space="preserve">con radicado </w:t>
    </w:r>
    <w:r>
      <w:rPr>
        <w:rFonts w:ascii="Arial" w:hAnsi="Arial" w:cs="Arial"/>
        <w:i/>
        <w:lang w:val="es-ES"/>
      </w:rPr>
      <w:t>(…)</w:t>
    </w:r>
    <w:r w:rsidRPr="0089594C">
      <w:rPr>
        <w:rFonts w:ascii="Arial" w:hAnsi="Arial" w:cs="Arial"/>
        <w:i/>
        <w:lang w:val="es-ES"/>
      </w:rPr>
      <w:t>.”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FC" w:rsidRPr="002D3335" w:rsidRDefault="00560597" w:rsidP="00725120">
    <w:pPr>
      <w:tabs>
        <w:tab w:val="left" w:pos="345"/>
        <w:tab w:val="left" w:pos="1485"/>
        <w:tab w:val="right" w:pos="10490"/>
      </w:tabs>
      <w:snapToGrid w:val="0"/>
      <w:jc w:val="right"/>
      <w:rPr>
        <w:rFonts w:ascii="Arial Narrow" w:hAnsi="Arial Narrow" w:cs="Arial"/>
        <w:b/>
        <w:bCs/>
        <w:sz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43193" o:spid="_x0000_s2049" type="#_x0000_t75" style="position:absolute;left:0;text-align:left;margin-left:-54.05pt;margin-top:17pt;width:612pt;height:732.55pt;z-index:-251657728;mso-position-horizontal-relative:margin;mso-position-vertical-relative:margin" o:allowincell="f">
          <v:imagedata r:id="rId1" o:title="Formato_carta_color_paisok" croptop="8383f"/>
          <w10:wrap anchorx="margin" anchory="margin"/>
        </v:shape>
      </w:pict>
    </w:r>
    <w:r w:rsidR="00881D45">
      <w:rPr>
        <w:color w:val="FFFFFF"/>
        <w:sz w:val="2"/>
      </w:rPr>
      <w:fldChar w:fldCharType="begin"/>
    </w:r>
    <w:r w:rsidR="00881D45">
      <w:rPr>
        <w:color w:val="FFFFFF"/>
        <w:sz w:val="2"/>
      </w:rPr>
      <w:instrText xml:space="preserve"> MERGEFIELD ITEM </w:instrText>
    </w:r>
    <w:r w:rsidR="00881D45">
      <w:rPr>
        <w:color w:val="FFFFFF"/>
        <w:sz w:val="2"/>
      </w:rPr>
      <w:fldChar w:fldCharType="separate"/>
    </w:r>
    <w:r w:rsidR="00881D45">
      <w:rPr>
        <w:noProof/>
        <w:color w:val="FFFFFF"/>
        <w:sz w:val="2"/>
      </w:rPr>
      <w:t>«ITEM»</w:t>
    </w:r>
    <w:r w:rsidR="00881D45">
      <w:rPr>
        <w:color w:val="FFFFFF"/>
        <w:sz w:val="2"/>
      </w:rPr>
      <w:fldChar w:fldCharType="end"/>
    </w:r>
    <w:r w:rsidR="0096107E">
      <w:rPr>
        <w:noProof/>
        <w:lang w:val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3689985" cy="914400"/>
          <wp:effectExtent l="0" t="0" r="5715" b="0"/>
          <wp:wrapTight wrapText="bothSides">
            <wp:wrapPolygon edited="0">
              <wp:start x="0" y="0"/>
              <wp:lineTo x="0" y="21150"/>
              <wp:lineTo x="21522" y="21150"/>
              <wp:lineTo x="2152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9FC" w:rsidRDefault="00881D45" w:rsidP="0015193D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r w:rsidRPr="002D3335">
      <w:tab/>
    </w:r>
    <w:r w:rsidRPr="002D3335">
      <w:tab/>
    </w:r>
    <w:r w:rsidRPr="002D3335">
      <w:tab/>
    </w:r>
    <w:r w:rsidRPr="002D3335">
      <w:tab/>
    </w:r>
    <w:r w:rsidRPr="002D3335">
      <w:tab/>
    </w:r>
    <w:r>
      <w:rPr>
        <w:rFonts w:ascii="Arial" w:hAnsi="Arial" w:cs="Arial"/>
        <w:sz w:val="16"/>
        <w:szCs w:val="16"/>
      </w:rPr>
      <w:t xml:space="preserve"> </w:t>
    </w:r>
  </w:p>
  <w:p w:rsidR="001E29FC" w:rsidRPr="003C00E7" w:rsidRDefault="00560597">
    <w:pPr>
      <w:pStyle w:val="Encabezado"/>
      <w:rPr>
        <w:color w:val="FFFFFF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6CBB"/>
    <w:multiLevelType w:val="hybridMultilevel"/>
    <w:tmpl w:val="43163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7757"/>
    <w:multiLevelType w:val="hybridMultilevel"/>
    <w:tmpl w:val="2E0CF91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636978"/>
    <w:multiLevelType w:val="hybridMultilevel"/>
    <w:tmpl w:val="F8E27C64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066500"/>
    <w:multiLevelType w:val="hybridMultilevel"/>
    <w:tmpl w:val="E4FE61D4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3712085"/>
    <w:multiLevelType w:val="hybridMultilevel"/>
    <w:tmpl w:val="6EF0514E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9314D3B"/>
    <w:multiLevelType w:val="hybridMultilevel"/>
    <w:tmpl w:val="BA305762"/>
    <w:lvl w:ilvl="0" w:tplc="B41ADB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005440"/>
    <w:multiLevelType w:val="hybridMultilevel"/>
    <w:tmpl w:val="4C24907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76606"/>
    <w:multiLevelType w:val="hybridMultilevel"/>
    <w:tmpl w:val="92A2DB9E"/>
    <w:lvl w:ilvl="0" w:tplc="24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8FC7B6C"/>
    <w:multiLevelType w:val="hybridMultilevel"/>
    <w:tmpl w:val="B4BE6AEE"/>
    <w:lvl w:ilvl="0" w:tplc="9AF4FC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b/>
        <w:i w:val="0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A6A3D45"/>
    <w:multiLevelType w:val="hybridMultilevel"/>
    <w:tmpl w:val="8A020780"/>
    <w:lvl w:ilvl="0" w:tplc="4A341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BE1693B"/>
    <w:multiLevelType w:val="hybridMultilevel"/>
    <w:tmpl w:val="D8EC90FC"/>
    <w:lvl w:ilvl="0" w:tplc="E7322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A65973"/>
    <w:multiLevelType w:val="hybridMultilevel"/>
    <w:tmpl w:val="AC327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A"/>
    <w:rsid w:val="00000942"/>
    <w:rsid w:val="0000147F"/>
    <w:rsid w:val="00003195"/>
    <w:rsid w:val="0000610F"/>
    <w:rsid w:val="00006563"/>
    <w:rsid w:val="0001262B"/>
    <w:rsid w:val="00013C33"/>
    <w:rsid w:val="000140C3"/>
    <w:rsid w:val="00014708"/>
    <w:rsid w:val="00016378"/>
    <w:rsid w:val="000164F2"/>
    <w:rsid w:val="0002116C"/>
    <w:rsid w:val="00023C65"/>
    <w:rsid w:val="000244E0"/>
    <w:rsid w:val="00025CF2"/>
    <w:rsid w:val="0003610C"/>
    <w:rsid w:val="00037807"/>
    <w:rsid w:val="00040B89"/>
    <w:rsid w:val="000412C4"/>
    <w:rsid w:val="00042479"/>
    <w:rsid w:val="000429D0"/>
    <w:rsid w:val="00043988"/>
    <w:rsid w:val="0004435D"/>
    <w:rsid w:val="0004524A"/>
    <w:rsid w:val="0004699C"/>
    <w:rsid w:val="00047993"/>
    <w:rsid w:val="00050606"/>
    <w:rsid w:val="00050F58"/>
    <w:rsid w:val="00051D92"/>
    <w:rsid w:val="00052F9D"/>
    <w:rsid w:val="00053401"/>
    <w:rsid w:val="0005386B"/>
    <w:rsid w:val="00057B85"/>
    <w:rsid w:val="000603FE"/>
    <w:rsid w:val="000605FF"/>
    <w:rsid w:val="00070225"/>
    <w:rsid w:val="000715AA"/>
    <w:rsid w:val="00072394"/>
    <w:rsid w:val="0007243C"/>
    <w:rsid w:val="00076471"/>
    <w:rsid w:val="000809B3"/>
    <w:rsid w:val="00081D29"/>
    <w:rsid w:val="00084F30"/>
    <w:rsid w:val="00090B93"/>
    <w:rsid w:val="000911A6"/>
    <w:rsid w:val="00097A01"/>
    <w:rsid w:val="00097C4E"/>
    <w:rsid w:val="00097DBA"/>
    <w:rsid w:val="000A2207"/>
    <w:rsid w:val="000A4B31"/>
    <w:rsid w:val="000B15E4"/>
    <w:rsid w:val="000B4DA4"/>
    <w:rsid w:val="000B6239"/>
    <w:rsid w:val="000B64C7"/>
    <w:rsid w:val="000C03F1"/>
    <w:rsid w:val="000C1DD3"/>
    <w:rsid w:val="000C2241"/>
    <w:rsid w:val="000C27A0"/>
    <w:rsid w:val="000C5557"/>
    <w:rsid w:val="000C590F"/>
    <w:rsid w:val="000C5FF2"/>
    <w:rsid w:val="000D0016"/>
    <w:rsid w:val="000D0F80"/>
    <w:rsid w:val="000D1949"/>
    <w:rsid w:val="000D374D"/>
    <w:rsid w:val="000D4A43"/>
    <w:rsid w:val="000D7119"/>
    <w:rsid w:val="000E1A13"/>
    <w:rsid w:val="000E1A16"/>
    <w:rsid w:val="000E4222"/>
    <w:rsid w:val="000E481A"/>
    <w:rsid w:val="000E6217"/>
    <w:rsid w:val="000F00B2"/>
    <w:rsid w:val="000F03F5"/>
    <w:rsid w:val="000F1463"/>
    <w:rsid w:val="000F2F2E"/>
    <w:rsid w:val="000F3A39"/>
    <w:rsid w:val="000F59E0"/>
    <w:rsid w:val="00102414"/>
    <w:rsid w:val="00104DE3"/>
    <w:rsid w:val="001056B2"/>
    <w:rsid w:val="001074C3"/>
    <w:rsid w:val="00107924"/>
    <w:rsid w:val="00107D07"/>
    <w:rsid w:val="00110197"/>
    <w:rsid w:val="00110214"/>
    <w:rsid w:val="00112EC1"/>
    <w:rsid w:val="0011355B"/>
    <w:rsid w:val="00113764"/>
    <w:rsid w:val="0011379F"/>
    <w:rsid w:val="00115198"/>
    <w:rsid w:val="00115810"/>
    <w:rsid w:val="0011592B"/>
    <w:rsid w:val="00116D0A"/>
    <w:rsid w:val="00116F15"/>
    <w:rsid w:val="00117777"/>
    <w:rsid w:val="001201AC"/>
    <w:rsid w:val="0012288C"/>
    <w:rsid w:val="0013037B"/>
    <w:rsid w:val="001309CE"/>
    <w:rsid w:val="00130E50"/>
    <w:rsid w:val="00134ECF"/>
    <w:rsid w:val="00136D8E"/>
    <w:rsid w:val="0013709A"/>
    <w:rsid w:val="00137714"/>
    <w:rsid w:val="00137CB4"/>
    <w:rsid w:val="00147B1C"/>
    <w:rsid w:val="00147B7B"/>
    <w:rsid w:val="00150DA9"/>
    <w:rsid w:val="0015193D"/>
    <w:rsid w:val="00154481"/>
    <w:rsid w:val="00155A5E"/>
    <w:rsid w:val="00160663"/>
    <w:rsid w:val="00162583"/>
    <w:rsid w:val="001630C0"/>
    <w:rsid w:val="0016601A"/>
    <w:rsid w:val="00170B89"/>
    <w:rsid w:val="00171809"/>
    <w:rsid w:val="001724A4"/>
    <w:rsid w:val="0017294D"/>
    <w:rsid w:val="00173D97"/>
    <w:rsid w:val="00180CCB"/>
    <w:rsid w:val="00183024"/>
    <w:rsid w:val="00183785"/>
    <w:rsid w:val="00183BB1"/>
    <w:rsid w:val="00183E82"/>
    <w:rsid w:val="0019235D"/>
    <w:rsid w:val="0019347A"/>
    <w:rsid w:val="00194410"/>
    <w:rsid w:val="00196D45"/>
    <w:rsid w:val="00197307"/>
    <w:rsid w:val="001A3331"/>
    <w:rsid w:val="001A7B43"/>
    <w:rsid w:val="001B0615"/>
    <w:rsid w:val="001B571D"/>
    <w:rsid w:val="001B5FAD"/>
    <w:rsid w:val="001B7731"/>
    <w:rsid w:val="001B7DF3"/>
    <w:rsid w:val="001C0399"/>
    <w:rsid w:val="001C0AF6"/>
    <w:rsid w:val="001C33AC"/>
    <w:rsid w:val="001C35FA"/>
    <w:rsid w:val="001C41CA"/>
    <w:rsid w:val="001C5494"/>
    <w:rsid w:val="001C5DD0"/>
    <w:rsid w:val="001C69E5"/>
    <w:rsid w:val="001C72BA"/>
    <w:rsid w:val="001D2C14"/>
    <w:rsid w:val="001D5EA6"/>
    <w:rsid w:val="001D649E"/>
    <w:rsid w:val="001D6CEA"/>
    <w:rsid w:val="001D75AA"/>
    <w:rsid w:val="001D769B"/>
    <w:rsid w:val="001E03A3"/>
    <w:rsid w:val="001E14F0"/>
    <w:rsid w:val="001E1CB9"/>
    <w:rsid w:val="001E3741"/>
    <w:rsid w:val="001E461B"/>
    <w:rsid w:val="001E7678"/>
    <w:rsid w:val="001F19A2"/>
    <w:rsid w:val="001F1ED8"/>
    <w:rsid w:val="001F3211"/>
    <w:rsid w:val="001F355D"/>
    <w:rsid w:val="001F3E7B"/>
    <w:rsid w:val="001F605B"/>
    <w:rsid w:val="001F716E"/>
    <w:rsid w:val="001F7D56"/>
    <w:rsid w:val="002001CA"/>
    <w:rsid w:val="00202FAF"/>
    <w:rsid w:val="00203315"/>
    <w:rsid w:val="002048B0"/>
    <w:rsid w:val="002048B5"/>
    <w:rsid w:val="00204DFD"/>
    <w:rsid w:val="00211CA5"/>
    <w:rsid w:val="00212113"/>
    <w:rsid w:val="00214BEA"/>
    <w:rsid w:val="00215DDC"/>
    <w:rsid w:val="002209AC"/>
    <w:rsid w:val="002250D8"/>
    <w:rsid w:val="00226B15"/>
    <w:rsid w:val="00226BA5"/>
    <w:rsid w:val="002270F0"/>
    <w:rsid w:val="0023196F"/>
    <w:rsid w:val="002319F6"/>
    <w:rsid w:val="00232361"/>
    <w:rsid w:val="0023250A"/>
    <w:rsid w:val="00234B4D"/>
    <w:rsid w:val="002367EE"/>
    <w:rsid w:val="00237777"/>
    <w:rsid w:val="0024015B"/>
    <w:rsid w:val="00242AD9"/>
    <w:rsid w:val="00242EC9"/>
    <w:rsid w:val="00246223"/>
    <w:rsid w:val="00247DAC"/>
    <w:rsid w:val="00250A4F"/>
    <w:rsid w:val="002515D0"/>
    <w:rsid w:val="00254D7A"/>
    <w:rsid w:val="00262048"/>
    <w:rsid w:val="002626F2"/>
    <w:rsid w:val="002630B5"/>
    <w:rsid w:val="00266BE1"/>
    <w:rsid w:val="002704CD"/>
    <w:rsid w:val="00276C18"/>
    <w:rsid w:val="00276C80"/>
    <w:rsid w:val="0028465D"/>
    <w:rsid w:val="00284B4F"/>
    <w:rsid w:val="00284D78"/>
    <w:rsid w:val="00286C4F"/>
    <w:rsid w:val="00286FF9"/>
    <w:rsid w:val="002876F4"/>
    <w:rsid w:val="00292240"/>
    <w:rsid w:val="00292782"/>
    <w:rsid w:val="00292942"/>
    <w:rsid w:val="002951C7"/>
    <w:rsid w:val="00295BF6"/>
    <w:rsid w:val="00295E1E"/>
    <w:rsid w:val="00296D34"/>
    <w:rsid w:val="002A22B6"/>
    <w:rsid w:val="002A4203"/>
    <w:rsid w:val="002A46C9"/>
    <w:rsid w:val="002A6F40"/>
    <w:rsid w:val="002B1C10"/>
    <w:rsid w:val="002B2AE0"/>
    <w:rsid w:val="002B44BC"/>
    <w:rsid w:val="002B4E8C"/>
    <w:rsid w:val="002B78D1"/>
    <w:rsid w:val="002C0381"/>
    <w:rsid w:val="002C22D8"/>
    <w:rsid w:val="002C2F6F"/>
    <w:rsid w:val="002C3116"/>
    <w:rsid w:val="002C3650"/>
    <w:rsid w:val="002C3E4C"/>
    <w:rsid w:val="002C49C0"/>
    <w:rsid w:val="002C6481"/>
    <w:rsid w:val="002C6DC6"/>
    <w:rsid w:val="002E0178"/>
    <w:rsid w:val="002E1DBD"/>
    <w:rsid w:val="002E283E"/>
    <w:rsid w:val="002E3505"/>
    <w:rsid w:val="002F018A"/>
    <w:rsid w:val="002F1E40"/>
    <w:rsid w:val="002F4387"/>
    <w:rsid w:val="002F4E43"/>
    <w:rsid w:val="002F5750"/>
    <w:rsid w:val="002F6D96"/>
    <w:rsid w:val="002F7A80"/>
    <w:rsid w:val="00300C17"/>
    <w:rsid w:val="00303997"/>
    <w:rsid w:val="00306324"/>
    <w:rsid w:val="00306EE9"/>
    <w:rsid w:val="0031445C"/>
    <w:rsid w:val="00314FF2"/>
    <w:rsid w:val="00317C0A"/>
    <w:rsid w:val="00317E8F"/>
    <w:rsid w:val="003203A9"/>
    <w:rsid w:val="00320AE1"/>
    <w:rsid w:val="003210CA"/>
    <w:rsid w:val="003256A3"/>
    <w:rsid w:val="0033039E"/>
    <w:rsid w:val="00331592"/>
    <w:rsid w:val="00331820"/>
    <w:rsid w:val="0033491C"/>
    <w:rsid w:val="003352A0"/>
    <w:rsid w:val="003360C7"/>
    <w:rsid w:val="00337201"/>
    <w:rsid w:val="00340082"/>
    <w:rsid w:val="00340AF5"/>
    <w:rsid w:val="00342689"/>
    <w:rsid w:val="003427D2"/>
    <w:rsid w:val="00344292"/>
    <w:rsid w:val="00344536"/>
    <w:rsid w:val="00352A5C"/>
    <w:rsid w:val="0035668A"/>
    <w:rsid w:val="00360139"/>
    <w:rsid w:val="00361B2A"/>
    <w:rsid w:val="00362EFB"/>
    <w:rsid w:val="0036328F"/>
    <w:rsid w:val="003663EC"/>
    <w:rsid w:val="003665B4"/>
    <w:rsid w:val="00366E05"/>
    <w:rsid w:val="00367C38"/>
    <w:rsid w:val="00370CD9"/>
    <w:rsid w:val="00370E9A"/>
    <w:rsid w:val="003743DD"/>
    <w:rsid w:val="0037484B"/>
    <w:rsid w:val="00374D3C"/>
    <w:rsid w:val="00376212"/>
    <w:rsid w:val="00377F4A"/>
    <w:rsid w:val="00377FE2"/>
    <w:rsid w:val="00380891"/>
    <w:rsid w:val="003817F8"/>
    <w:rsid w:val="00384168"/>
    <w:rsid w:val="00384FB9"/>
    <w:rsid w:val="0039071E"/>
    <w:rsid w:val="00391284"/>
    <w:rsid w:val="00391AE2"/>
    <w:rsid w:val="0039413F"/>
    <w:rsid w:val="0039439F"/>
    <w:rsid w:val="003A1608"/>
    <w:rsid w:val="003A3E15"/>
    <w:rsid w:val="003A4A50"/>
    <w:rsid w:val="003A5A53"/>
    <w:rsid w:val="003A7562"/>
    <w:rsid w:val="003A7A28"/>
    <w:rsid w:val="003B09F5"/>
    <w:rsid w:val="003B1047"/>
    <w:rsid w:val="003B2A9B"/>
    <w:rsid w:val="003B73FD"/>
    <w:rsid w:val="003C100B"/>
    <w:rsid w:val="003C18FF"/>
    <w:rsid w:val="003C4FF2"/>
    <w:rsid w:val="003D2110"/>
    <w:rsid w:val="003D2504"/>
    <w:rsid w:val="003D2616"/>
    <w:rsid w:val="003D3885"/>
    <w:rsid w:val="003D3C75"/>
    <w:rsid w:val="003D4042"/>
    <w:rsid w:val="003D7B84"/>
    <w:rsid w:val="003E287C"/>
    <w:rsid w:val="003E3FD3"/>
    <w:rsid w:val="003E44C2"/>
    <w:rsid w:val="003E539F"/>
    <w:rsid w:val="003E591E"/>
    <w:rsid w:val="003E5CCC"/>
    <w:rsid w:val="003E78C1"/>
    <w:rsid w:val="003F13BC"/>
    <w:rsid w:val="003F1D00"/>
    <w:rsid w:val="003F1E86"/>
    <w:rsid w:val="003F22CB"/>
    <w:rsid w:val="003F34F1"/>
    <w:rsid w:val="003F36BC"/>
    <w:rsid w:val="003F3E7C"/>
    <w:rsid w:val="00400978"/>
    <w:rsid w:val="00402416"/>
    <w:rsid w:val="00402751"/>
    <w:rsid w:val="00402E53"/>
    <w:rsid w:val="00403174"/>
    <w:rsid w:val="00405CF4"/>
    <w:rsid w:val="00410A08"/>
    <w:rsid w:val="0041176B"/>
    <w:rsid w:val="00412D99"/>
    <w:rsid w:val="00413A58"/>
    <w:rsid w:val="004144D2"/>
    <w:rsid w:val="00415890"/>
    <w:rsid w:val="00415BF4"/>
    <w:rsid w:val="00415FFA"/>
    <w:rsid w:val="004161E9"/>
    <w:rsid w:val="00421845"/>
    <w:rsid w:val="004218D1"/>
    <w:rsid w:val="00421F6D"/>
    <w:rsid w:val="00422BC6"/>
    <w:rsid w:val="00423276"/>
    <w:rsid w:val="0043036D"/>
    <w:rsid w:val="00432F6B"/>
    <w:rsid w:val="00433ED4"/>
    <w:rsid w:val="004344A4"/>
    <w:rsid w:val="00434FCD"/>
    <w:rsid w:val="0043579B"/>
    <w:rsid w:val="00436201"/>
    <w:rsid w:val="00440D85"/>
    <w:rsid w:val="004412B7"/>
    <w:rsid w:val="00441B45"/>
    <w:rsid w:val="00441B8E"/>
    <w:rsid w:val="00441E6A"/>
    <w:rsid w:val="00442FC9"/>
    <w:rsid w:val="00442FFE"/>
    <w:rsid w:val="00447E27"/>
    <w:rsid w:val="0045041E"/>
    <w:rsid w:val="004551F8"/>
    <w:rsid w:val="00457B64"/>
    <w:rsid w:val="00461381"/>
    <w:rsid w:val="004616EC"/>
    <w:rsid w:val="00462FD0"/>
    <w:rsid w:val="00465234"/>
    <w:rsid w:val="0047072A"/>
    <w:rsid w:val="004715E5"/>
    <w:rsid w:val="00472290"/>
    <w:rsid w:val="004775F7"/>
    <w:rsid w:val="004815A8"/>
    <w:rsid w:val="00481C3D"/>
    <w:rsid w:val="00482F60"/>
    <w:rsid w:val="00486805"/>
    <w:rsid w:val="00490B94"/>
    <w:rsid w:val="004911FE"/>
    <w:rsid w:val="00493999"/>
    <w:rsid w:val="00496284"/>
    <w:rsid w:val="004963FD"/>
    <w:rsid w:val="00497677"/>
    <w:rsid w:val="00497E54"/>
    <w:rsid w:val="004A0F1F"/>
    <w:rsid w:val="004A423A"/>
    <w:rsid w:val="004A4350"/>
    <w:rsid w:val="004A442D"/>
    <w:rsid w:val="004A4F28"/>
    <w:rsid w:val="004B2900"/>
    <w:rsid w:val="004B4045"/>
    <w:rsid w:val="004B55EB"/>
    <w:rsid w:val="004B5D21"/>
    <w:rsid w:val="004B739A"/>
    <w:rsid w:val="004C2FFA"/>
    <w:rsid w:val="004C3DF1"/>
    <w:rsid w:val="004C44B3"/>
    <w:rsid w:val="004C509E"/>
    <w:rsid w:val="004C5CD1"/>
    <w:rsid w:val="004C6B76"/>
    <w:rsid w:val="004C7145"/>
    <w:rsid w:val="004C77E0"/>
    <w:rsid w:val="004D0AE4"/>
    <w:rsid w:val="004D1329"/>
    <w:rsid w:val="004D3EEC"/>
    <w:rsid w:val="004D5D6F"/>
    <w:rsid w:val="004E01CC"/>
    <w:rsid w:val="004E0F7C"/>
    <w:rsid w:val="004E2F0F"/>
    <w:rsid w:val="004E5191"/>
    <w:rsid w:val="004E6D8D"/>
    <w:rsid w:val="004F085C"/>
    <w:rsid w:val="004F2B52"/>
    <w:rsid w:val="004F3DB6"/>
    <w:rsid w:val="004F5B8D"/>
    <w:rsid w:val="004F7162"/>
    <w:rsid w:val="004F724D"/>
    <w:rsid w:val="004F74A8"/>
    <w:rsid w:val="0050050D"/>
    <w:rsid w:val="00500C7F"/>
    <w:rsid w:val="005035D5"/>
    <w:rsid w:val="00505FD0"/>
    <w:rsid w:val="005066E0"/>
    <w:rsid w:val="005109EE"/>
    <w:rsid w:val="00510D96"/>
    <w:rsid w:val="00512A33"/>
    <w:rsid w:val="0051391F"/>
    <w:rsid w:val="00516148"/>
    <w:rsid w:val="00516FF7"/>
    <w:rsid w:val="00520CBE"/>
    <w:rsid w:val="00520D99"/>
    <w:rsid w:val="00525158"/>
    <w:rsid w:val="00525B38"/>
    <w:rsid w:val="005262C0"/>
    <w:rsid w:val="005268B0"/>
    <w:rsid w:val="00526A4C"/>
    <w:rsid w:val="0052708E"/>
    <w:rsid w:val="00527499"/>
    <w:rsid w:val="005307B8"/>
    <w:rsid w:val="005317F2"/>
    <w:rsid w:val="0053231A"/>
    <w:rsid w:val="00533560"/>
    <w:rsid w:val="00533A8F"/>
    <w:rsid w:val="0053527D"/>
    <w:rsid w:val="005369FB"/>
    <w:rsid w:val="005426E5"/>
    <w:rsid w:val="00542D95"/>
    <w:rsid w:val="00543E3D"/>
    <w:rsid w:val="00544605"/>
    <w:rsid w:val="00546C1E"/>
    <w:rsid w:val="00546F46"/>
    <w:rsid w:val="00547F8C"/>
    <w:rsid w:val="005508C6"/>
    <w:rsid w:val="0055636D"/>
    <w:rsid w:val="0056022E"/>
    <w:rsid w:val="00560597"/>
    <w:rsid w:val="0056429E"/>
    <w:rsid w:val="00564D7F"/>
    <w:rsid w:val="005654D0"/>
    <w:rsid w:val="00566579"/>
    <w:rsid w:val="00567991"/>
    <w:rsid w:val="00567C9C"/>
    <w:rsid w:val="00571B11"/>
    <w:rsid w:val="00572140"/>
    <w:rsid w:val="00572842"/>
    <w:rsid w:val="00572BF1"/>
    <w:rsid w:val="005738A5"/>
    <w:rsid w:val="00573BD9"/>
    <w:rsid w:val="005750B1"/>
    <w:rsid w:val="00577CBB"/>
    <w:rsid w:val="00581BA1"/>
    <w:rsid w:val="0058418C"/>
    <w:rsid w:val="0058560B"/>
    <w:rsid w:val="00586C29"/>
    <w:rsid w:val="005879C8"/>
    <w:rsid w:val="005879CB"/>
    <w:rsid w:val="005901F9"/>
    <w:rsid w:val="005905BE"/>
    <w:rsid w:val="00592A78"/>
    <w:rsid w:val="00593D50"/>
    <w:rsid w:val="005944D6"/>
    <w:rsid w:val="00594581"/>
    <w:rsid w:val="00596FBA"/>
    <w:rsid w:val="005A09DA"/>
    <w:rsid w:val="005A1658"/>
    <w:rsid w:val="005A45EB"/>
    <w:rsid w:val="005A49C9"/>
    <w:rsid w:val="005A6526"/>
    <w:rsid w:val="005A76B4"/>
    <w:rsid w:val="005B0130"/>
    <w:rsid w:val="005B344E"/>
    <w:rsid w:val="005B5443"/>
    <w:rsid w:val="005B6B7A"/>
    <w:rsid w:val="005C0E4B"/>
    <w:rsid w:val="005C18B8"/>
    <w:rsid w:val="005C2FC6"/>
    <w:rsid w:val="005C38AA"/>
    <w:rsid w:val="005C4475"/>
    <w:rsid w:val="005D19B4"/>
    <w:rsid w:val="005D37D3"/>
    <w:rsid w:val="005D3836"/>
    <w:rsid w:val="005E1BC6"/>
    <w:rsid w:val="005E1F38"/>
    <w:rsid w:val="005E4375"/>
    <w:rsid w:val="005E462D"/>
    <w:rsid w:val="005F3A05"/>
    <w:rsid w:val="005F5B4C"/>
    <w:rsid w:val="006037F5"/>
    <w:rsid w:val="00604BBA"/>
    <w:rsid w:val="0060737A"/>
    <w:rsid w:val="00611D8D"/>
    <w:rsid w:val="006127CD"/>
    <w:rsid w:val="0061590A"/>
    <w:rsid w:val="0061716D"/>
    <w:rsid w:val="0061726B"/>
    <w:rsid w:val="00617CDF"/>
    <w:rsid w:val="00620BAE"/>
    <w:rsid w:val="0062326C"/>
    <w:rsid w:val="00624020"/>
    <w:rsid w:val="00624CF9"/>
    <w:rsid w:val="00630EB9"/>
    <w:rsid w:val="00631590"/>
    <w:rsid w:val="00631E3C"/>
    <w:rsid w:val="0063514C"/>
    <w:rsid w:val="0064305D"/>
    <w:rsid w:val="006434B3"/>
    <w:rsid w:val="00644AA7"/>
    <w:rsid w:val="006452B7"/>
    <w:rsid w:val="00646AD5"/>
    <w:rsid w:val="00650535"/>
    <w:rsid w:val="00650CCE"/>
    <w:rsid w:val="00653997"/>
    <w:rsid w:val="00655B0B"/>
    <w:rsid w:val="0065612B"/>
    <w:rsid w:val="00656506"/>
    <w:rsid w:val="00656746"/>
    <w:rsid w:val="00656AE8"/>
    <w:rsid w:val="00656DA9"/>
    <w:rsid w:val="00656FA9"/>
    <w:rsid w:val="0066247E"/>
    <w:rsid w:val="00662D15"/>
    <w:rsid w:val="0066333E"/>
    <w:rsid w:val="006656F3"/>
    <w:rsid w:val="00665B70"/>
    <w:rsid w:val="00666CC2"/>
    <w:rsid w:val="0066747D"/>
    <w:rsid w:val="00675CC6"/>
    <w:rsid w:val="006764E6"/>
    <w:rsid w:val="006774B9"/>
    <w:rsid w:val="006816FB"/>
    <w:rsid w:val="00687FB6"/>
    <w:rsid w:val="0069235B"/>
    <w:rsid w:val="00692A7F"/>
    <w:rsid w:val="00692E50"/>
    <w:rsid w:val="0069340E"/>
    <w:rsid w:val="006939D6"/>
    <w:rsid w:val="00694A66"/>
    <w:rsid w:val="006A174F"/>
    <w:rsid w:val="006A1AC5"/>
    <w:rsid w:val="006A2A99"/>
    <w:rsid w:val="006B3607"/>
    <w:rsid w:val="006B5F4D"/>
    <w:rsid w:val="006B64D2"/>
    <w:rsid w:val="006B6C63"/>
    <w:rsid w:val="006C054C"/>
    <w:rsid w:val="006C06BA"/>
    <w:rsid w:val="006C261A"/>
    <w:rsid w:val="006C2A22"/>
    <w:rsid w:val="006C5959"/>
    <w:rsid w:val="006C7F9D"/>
    <w:rsid w:val="006D02D3"/>
    <w:rsid w:val="006D0C96"/>
    <w:rsid w:val="006D128B"/>
    <w:rsid w:val="006D1F2D"/>
    <w:rsid w:val="006D2F83"/>
    <w:rsid w:val="006D3C74"/>
    <w:rsid w:val="006D4391"/>
    <w:rsid w:val="006D4CEE"/>
    <w:rsid w:val="006E027E"/>
    <w:rsid w:val="006E04CF"/>
    <w:rsid w:val="006E4327"/>
    <w:rsid w:val="006E6CFA"/>
    <w:rsid w:val="006F3240"/>
    <w:rsid w:val="006F33E4"/>
    <w:rsid w:val="006F4B22"/>
    <w:rsid w:val="006F58EB"/>
    <w:rsid w:val="006F5F12"/>
    <w:rsid w:val="006F6977"/>
    <w:rsid w:val="006F6C5C"/>
    <w:rsid w:val="007009D2"/>
    <w:rsid w:val="00703DFD"/>
    <w:rsid w:val="00706C0A"/>
    <w:rsid w:val="00706C5A"/>
    <w:rsid w:val="0071059C"/>
    <w:rsid w:val="007122BE"/>
    <w:rsid w:val="0071284B"/>
    <w:rsid w:val="0071319B"/>
    <w:rsid w:val="0072055A"/>
    <w:rsid w:val="007214BD"/>
    <w:rsid w:val="007239CF"/>
    <w:rsid w:val="0072491F"/>
    <w:rsid w:val="00724D31"/>
    <w:rsid w:val="00730DE3"/>
    <w:rsid w:val="007313D7"/>
    <w:rsid w:val="007334E3"/>
    <w:rsid w:val="00733767"/>
    <w:rsid w:val="0073380D"/>
    <w:rsid w:val="00734CFB"/>
    <w:rsid w:val="0073675F"/>
    <w:rsid w:val="007418BA"/>
    <w:rsid w:val="00742F81"/>
    <w:rsid w:val="007442A3"/>
    <w:rsid w:val="0075456C"/>
    <w:rsid w:val="00761A1D"/>
    <w:rsid w:val="00761C43"/>
    <w:rsid w:val="007624D4"/>
    <w:rsid w:val="007652D6"/>
    <w:rsid w:val="007659BC"/>
    <w:rsid w:val="00767AC7"/>
    <w:rsid w:val="00767BEF"/>
    <w:rsid w:val="00770BCF"/>
    <w:rsid w:val="007724A1"/>
    <w:rsid w:val="00774EEF"/>
    <w:rsid w:val="007751FC"/>
    <w:rsid w:val="0077736F"/>
    <w:rsid w:val="00777565"/>
    <w:rsid w:val="007808AA"/>
    <w:rsid w:val="00781CF9"/>
    <w:rsid w:val="007820EF"/>
    <w:rsid w:val="00785DAE"/>
    <w:rsid w:val="007865D2"/>
    <w:rsid w:val="00787CE4"/>
    <w:rsid w:val="00790722"/>
    <w:rsid w:val="0079178E"/>
    <w:rsid w:val="007931E6"/>
    <w:rsid w:val="00794931"/>
    <w:rsid w:val="00796D1F"/>
    <w:rsid w:val="00797ED7"/>
    <w:rsid w:val="007A022C"/>
    <w:rsid w:val="007A0F43"/>
    <w:rsid w:val="007A4153"/>
    <w:rsid w:val="007A49E4"/>
    <w:rsid w:val="007A4ABE"/>
    <w:rsid w:val="007A5466"/>
    <w:rsid w:val="007A79E4"/>
    <w:rsid w:val="007B242E"/>
    <w:rsid w:val="007B2902"/>
    <w:rsid w:val="007B3A48"/>
    <w:rsid w:val="007B4172"/>
    <w:rsid w:val="007B537B"/>
    <w:rsid w:val="007B56C7"/>
    <w:rsid w:val="007C22A7"/>
    <w:rsid w:val="007C2991"/>
    <w:rsid w:val="007C34CB"/>
    <w:rsid w:val="007C389A"/>
    <w:rsid w:val="007C46B3"/>
    <w:rsid w:val="007C557C"/>
    <w:rsid w:val="007D0D94"/>
    <w:rsid w:val="007D3FFE"/>
    <w:rsid w:val="007D471B"/>
    <w:rsid w:val="007D79D1"/>
    <w:rsid w:val="007E0032"/>
    <w:rsid w:val="007E0C69"/>
    <w:rsid w:val="007E0E2A"/>
    <w:rsid w:val="007E11B6"/>
    <w:rsid w:val="007E2AF8"/>
    <w:rsid w:val="007E2EA3"/>
    <w:rsid w:val="007E3B7C"/>
    <w:rsid w:val="007E4704"/>
    <w:rsid w:val="007E6372"/>
    <w:rsid w:val="007E6C87"/>
    <w:rsid w:val="007E780C"/>
    <w:rsid w:val="007E78AC"/>
    <w:rsid w:val="007F1195"/>
    <w:rsid w:val="007F1CBE"/>
    <w:rsid w:val="007F428A"/>
    <w:rsid w:val="007F43E4"/>
    <w:rsid w:val="007F5142"/>
    <w:rsid w:val="007F5D52"/>
    <w:rsid w:val="00800221"/>
    <w:rsid w:val="008014BD"/>
    <w:rsid w:val="008028BD"/>
    <w:rsid w:val="00805C84"/>
    <w:rsid w:val="0080619E"/>
    <w:rsid w:val="00806E39"/>
    <w:rsid w:val="008070AB"/>
    <w:rsid w:val="008073D1"/>
    <w:rsid w:val="00807A70"/>
    <w:rsid w:val="0081075D"/>
    <w:rsid w:val="008107A3"/>
    <w:rsid w:val="00811204"/>
    <w:rsid w:val="00816956"/>
    <w:rsid w:val="0082079E"/>
    <w:rsid w:val="00820850"/>
    <w:rsid w:val="00821293"/>
    <w:rsid w:val="00824DA1"/>
    <w:rsid w:val="00826365"/>
    <w:rsid w:val="00826DEA"/>
    <w:rsid w:val="00827381"/>
    <w:rsid w:val="00827493"/>
    <w:rsid w:val="00830166"/>
    <w:rsid w:val="00830318"/>
    <w:rsid w:val="008303A1"/>
    <w:rsid w:val="0083043F"/>
    <w:rsid w:val="008308FD"/>
    <w:rsid w:val="00830B0F"/>
    <w:rsid w:val="008328E6"/>
    <w:rsid w:val="00832A0E"/>
    <w:rsid w:val="008331E9"/>
    <w:rsid w:val="008340A8"/>
    <w:rsid w:val="00835172"/>
    <w:rsid w:val="00835B97"/>
    <w:rsid w:val="0084080F"/>
    <w:rsid w:val="00841604"/>
    <w:rsid w:val="008429FE"/>
    <w:rsid w:val="00842C29"/>
    <w:rsid w:val="00842E5E"/>
    <w:rsid w:val="00844BFE"/>
    <w:rsid w:val="008453D3"/>
    <w:rsid w:val="0084682D"/>
    <w:rsid w:val="0085070E"/>
    <w:rsid w:val="008514DF"/>
    <w:rsid w:val="0085158C"/>
    <w:rsid w:val="00852A57"/>
    <w:rsid w:val="0085327D"/>
    <w:rsid w:val="00854A0A"/>
    <w:rsid w:val="00854FB2"/>
    <w:rsid w:val="00856481"/>
    <w:rsid w:val="008567B6"/>
    <w:rsid w:val="00857673"/>
    <w:rsid w:val="0086044D"/>
    <w:rsid w:val="008625A3"/>
    <w:rsid w:val="0086479C"/>
    <w:rsid w:val="00864E7E"/>
    <w:rsid w:val="00865D39"/>
    <w:rsid w:val="00866FBD"/>
    <w:rsid w:val="008713D6"/>
    <w:rsid w:val="0087388D"/>
    <w:rsid w:val="00875824"/>
    <w:rsid w:val="00876BF4"/>
    <w:rsid w:val="00880155"/>
    <w:rsid w:val="00881A54"/>
    <w:rsid w:val="00881D45"/>
    <w:rsid w:val="0088341C"/>
    <w:rsid w:val="00885499"/>
    <w:rsid w:val="0088575B"/>
    <w:rsid w:val="00885C44"/>
    <w:rsid w:val="00886D61"/>
    <w:rsid w:val="008879B8"/>
    <w:rsid w:val="00892374"/>
    <w:rsid w:val="008923B3"/>
    <w:rsid w:val="008925FF"/>
    <w:rsid w:val="00893DEE"/>
    <w:rsid w:val="0089476D"/>
    <w:rsid w:val="0089594C"/>
    <w:rsid w:val="00897A60"/>
    <w:rsid w:val="008A09B4"/>
    <w:rsid w:val="008A1381"/>
    <w:rsid w:val="008A15E5"/>
    <w:rsid w:val="008A252A"/>
    <w:rsid w:val="008A27D5"/>
    <w:rsid w:val="008A3E83"/>
    <w:rsid w:val="008A4F55"/>
    <w:rsid w:val="008B0004"/>
    <w:rsid w:val="008B07ED"/>
    <w:rsid w:val="008B1094"/>
    <w:rsid w:val="008B26A2"/>
    <w:rsid w:val="008B2B16"/>
    <w:rsid w:val="008B31D8"/>
    <w:rsid w:val="008B3F4E"/>
    <w:rsid w:val="008B511A"/>
    <w:rsid w:val="008B647A"/>
    <w:rsid w:val="008B67C1"/>
    <w:rsid w:val="008B79EC"/>
    <w:rsid w:val="008C1E4E"/>
    <w:rsid w:val="008C30A6"/>
    <w:rsid w:val="008C5265"/>
    <w:rsid w:val="008C5557"/>
    <w:rsid w:val="008C6B06"/>
    <w:rsid w:val="008C6B9B"/>
    <w:rsid w:val="008D1D05"/>
    <w:rsid w:val="008D5655"/>
    <w:rsid w:val="008D6D1E"/>
    <w:rsid w:val="008D7C5D"/>
    <w:rsid w:val="008E0858"/>
    <w:rsid w:val="008E13E6"/>
    <w:rsid w:val="008E1B14"/>
    <w:rsid w:val="008E1E1F"/>
    <w:rsid w:val="008E3106"/>
    <w:rsid w:val="008E786B"/>
    <w:rsid w:val="008F2FB2"/>
    <w:rsid w:val="008F3EFA"/>
    <w:rsid w:val="008F45B8"/>
    <w:rsid w:val="008F5E75"/>
    <w:rsid w:val="00901A5C"/>
    <w:rsid w:val="00902DCE"/>
    <w:rsid w:val="00913608"/>
    <w:rsid w:val="00913EF9"/>
    <w:rsid w:val="00916535"/>
    <w:rsid w:val="00916CED"/>
    <w:rsid w:val="0092125F"/>
    <w:rsid w:val="00922053"/>
    <w:rsid w:val="009221AC"/>
    <w:rsid w:val="009251DA"/>
    <w:rsid w:val="00927EC9"/>
    <w:rsid w:val="00931425"/>
    <w:rsid w:val="009330DF"/>
    <w:rsid w:val="009334C4"/>
    <w:rsid w:val="0093359F"/>
    <w:rsid w:val="0093538E"/>
    <w:rsid w:val="00935D07"/>
    <w:rsid w:val="00942006"/>
    <w:rsid w:val="00943994"/>
    <w:rsid w:val="00951344"/>
    <w:rsid w:val="00951928"/>
    <w:rsid w:val="00952631"/>
    <w:rsid w:val="00953617"/>
    <w:rsid w:val="00956202"/>
    <w:rsid w:val="00960970"/>
    <w:rsid w:val="00960C18"/>
    <w:rsid w:val="0096107E"/>
    <w:rsid w:val="0096114F"/>
    <w:rsid w:val="009611C6"/>
    <w:rsid w:val="00965188"/>
    <w:rsid w:val="00967E5F"/>
    <w:rsid w:val="009702ED"/>
    <w:rsid w:val="0097160E"/>
    <w:rsid w:val="00972D50"/>
    <w:rsid w:val="009739D2"/>
    <w:rsid w:val="00973D6A"/>
    <w:rsid w:val="00974786"/>
    <w:rsid w:val="009769BD"/>
    <w:rsid w:val="0097716B"/>
    <w:rsid w:val="009771E7"/>
    <w:rsid w:val="0098203A"/>
    <w:rsid w:val="0098205E"/>
    <w:rsid w:val="009827D7"/>
    <w:rsid w:val="00986634"/>
    <w:rsid w:val="00990B5A"/>
    <w:rsid w:val="00993FA6"/>
    <w:rsid w:val="00996FA1"/>
    <w:rsid w:val="0099799E"/>
    <w:rsid w:val="009A026C"/>
    <w:rsid w:val="009A1EA4"/>
    <w:rsid w:val="009A4968"/>
    <w:rsid w:val="009B1575"/>
    <w:rsid w:val="009B3ED5"/>
    <w:rsid w:val="009B4A9F"/>
    <w:rsid w:val="009B60D7"/>
    <w:rsid w:val="009B7BB3"/>
    <w:rsid w:val="009C1AB1"/>
    <w:rsid w:val="009C2C48"/>
    <w:rsid w:val="009C569E"/>
    <w:rsid w:val="009D15BD"/>
    <w:rsid w:val="009D28D5"/>
    <w:rsid w:val="009D3705"/>
    <w:rsid w:val="009D4166"/>
    <w:rsid w:val="009D4C03"/>
    <w:rsid w:val="009D545E"/>
    <w:rsid w:val="009D55AC"/>
    <w:rsid w:val="009D5DAC"/>
    <w:rsid w:val="009D750B"/>
    <w:rsid w:val="009D7BED"/>
    <w:rsid w:val="009E00E2"/>
    <w:rsid w:val="009E0212"/>
    <w:rsid w:val="009E0BA9"/>
    <w:rsid w:val="009E21B3"/>
    <w:rsid w:val="009E3572"/>
    <w:rsid w:val="009E6F4E"/>
    <w:rsid w:val="009E771A"/>
    <w:rsid w:val="009F0009"/>
    <w:rsid w:val="009F0F5D"/>
    <w:rsid w:val="009F42EA"/>
    <w:rsid w:val="009F5447"/>
    <w:rsid w:val="009F5FF3"/>
    <w:rsid w:val="009F6650"/>
    <w:rsid w:val="00A005C3"/>
    <w:rsid w:val="00A01ABB"/>
    <w:rsid w:val="00A03ADC"/>
    <w:rsid w:val="00A041CA"/>
    <w:rsid w:val="00A06A49"/>
    <w:rsid w:val="00A1001F"/>
    <w:rsid w:val="00A11526"/>
    <w:rsid w:val="00A11D02"/>
    <w:rsid w:val="00A12B5D"/>
    <w:rsid w:val="00A13010"/>
    <w:rsid w:val="00A13C9F"/>
    <w:rsid w:val="00A14703"/>
    <w:rsid w:val="00A20135"/>
    <w:rsid w:val="00A206D9"/>
    <w:rsid w:val="00A22F0B"/>
    <w:rsid w:val="00A2616B"/>
    <w:rsid w:val="00A269B0"/>
    <w:rsid w:val="00A273E0"/>
    <w:rsid w:val="00A30447"/>
    <w:rsid w:val="00A30669"/>
    <w:rsid w:val="00A3166E"/>
    <w:rsid w:val="00A319D0"/>
    <w:rsid w:val="00A33F6F"/>
    <w:rsid w:val="00A34A44"/>
    <w:rsid w:val="00A42239"/>
    <w:rsid w:val="00A46C8C"/>
    <w:rsid w:val="00A472CF"/>
    <w:rsid w:val="00A50C4D"/>
    <w:rsid w:val="00A5230F"/>
    <w:rsid w:val="00A538FC"/>
    <w:rsid w:val="00A54E3D"/>
    <w:rsid w:val="00A5630E"/>
    <w:rsid w:val="00A566CE"/>
    <w:rsid w:val="00A56B8B"/>
    <w:rsid w:val="00A57F28"/>
    <w:rsid w:val="00A60211"/>
    <w:rsid w:val="00A60F54"/>
    <w:rsid w:val="00A639BA"/>
    <w:rsid w:val="00A6467E"/>
    <w:rsid w:val="00A64795"/>
    <w:rsid w:val="00A71885"/>
    <w:rsid w:val="00A75C39"/>
    <w:rsid w:val="00A81FF0"/>
    <w:rsid w:val="00A83AC8"/>
    <w:rsid w:val="00A85EE1"/>
    <w:rsid w:val="00A86415"/>
    <w:rsid w:val="00A87852"/>
    <w:rsid w:val="00A87FF3"/>
    <w:rsid w:val="00A93117"/>
    <w:rsid w:val="00A935D5"/>
    <w:rsid w:val="00A94F00"/>
    <w:rsid w:val="00A95804"/>
    <w:rsid w:val="00A96054"/>
    <w:rsid w:val="00AA01EB"/>
    <w:rsid w:val="00AA0C55"/>
    <w:rsid w:val="00AA1612"/>
    <w:rsid w:val="00AA1C2F"/>
    <w:rsid w:val="00AA4449"/>
    <w:rsid w:val="00AA44FF"/>
    <w:rsid w:val="00AA5067"/>
    <w:rsid w:val="00AA6818"/>
    <w:rsid w:val="00AB1EF9"/>
    <w:rsid w:val="00AB1F0F"/>
    <w:rsid w:val="00AB384D"/>
    <w:rsid w:val="00AB5EB2"/>
    <w:rsid w:val="00AB6DB1"/>
    <w:rsid w:val="00AC465D"/>
    <w:rsid w:val="00AC5EDD"/>
    <w:rsid w:val="00AC6694"/>
    <w:rsid w:val="00AC6789"/>
    <w:rsid w:val="00AC78C5"/>
    <w:rsid w:val="00AC7AFB"/>
    <w:rsid w:val="00AD213E"/>
    <w:rsid w:val="00AD32C2"/>
    <w:rsid w:val="00AD3D64"/>
    <w:rsid w:val="00AD426C"/>
    <w:rsid w:val="00AD6B34"/>
    <w:rsid w:val="00AD6FF2"/>
    <w:rsid w:val="00AD7AC3"/>
    <w:rsid w:val="00AE221B"/>
    <w:rsid w:val="00AE3670"/>
    <w:rsid w:val="00AE4D87"/>
    <w:rsid w:val="00AE76B3"/>
    <w:rsid w:val="00AF205B"/>
    <w:rsid w:val="00AF315A"/>
    <w:rsid w:val="00AF485A"/>
    <w:rsid w:val="00AF5053"/>
    <w:rsid w:val="00AF6E66"/>
    <w:rsid w:val="00B02805"/>
    <w:rsid w:val="00B03A2C"/>
    <w:rsid w:val="00B06EB7"/>
    <w:rsid w:val="00B074A8"/>
    <w:rsid w:val="00B0783C"/>
    <w:rsid w:val="00B117B5"/>
    <w:rsid w:val="00B145DD"/>
    <w:rsid w:val="00B16D86"/>
    <w:rsid w:val="00B17398"/>
    <w:rsid w:val="00B20AD5"/>
    <w:rsid w:val="00B212C4"/>
    <w:rsid w:val="00B250FF"/>
    <w:rsid w:val="00B25C55"/>
    <w:rsid w:val="00B26226"/>
    <w:rsid w:val="00B26E7E"/>
    <w:rsid w:val="00B30284"/>
    <w:rsid w:val="00B31EA8"/>
    <w:rsid w:val="00B34855"/>
    <w:rsid w:val="00B359BF"/>
    <w:rsid w:val="00B36249"/>
    <w:rsid w:val="00B37B54"/>
    <w:rsid w:val="00B44A0E"/>
    <w:rsid w:val="00B450C8"/>
    <w:rsid w:val="00B451C1"/>
    <w:rsid w:val="00B46BB6"/>
    <w:rsid w:val="00B50E45"/>
    <w:rsid w:val="00B53F20"/>
    <w:rsid w:val="00B54D6A"/>
    <w:rsid w:val="00B54F17"/>
    <w:rsid w:val="00B56140"/>
    <w:rsid w:val="00B56A9F"/>
    <w:rsid w:val="00B57D08"/>
    <w:rsid w:val="00B57F6C"/>
    <w:rsid w:val="00B6206E"/>
    <w:rsid w:val="00B62B9A"/>
    <w:rsid w:val="00B6350F"/>
    <w:rsid w:val="00B6389B"/>
    <w:rsid w:val="00B64694"/>
    <w:rsid w:val="00B649C7"/>
    <w:rsid w:val="00B65038"/>
    <w:rsid w:val="00B67764"/>
    <w:rsid w:val="00B70F4A"/>
    <w:rsid w:val="00B74462"/>
    <w:rsid w:val="00B7699A"/>
    <w:rsid w:val="00B77796"/>
    <w:rsid w:val="00B80594"/>
    <w:rsid w:val="00B8368E"/>
    <w:rsid w:val="00B83FCF"/>
    <w:rsid w:val="00B8469A"/>
    <w:rsid w:val="00B846C2"/>
    <w:rsid w:val="00B84F2B"/>
    <w:rsid w:val="00B858AE"/>
    <w:rsid w:val="00B86720"/>
    <w:rsid w:val="00B91FB3"/>
    <w:rsid w:val="00B9233D"/>
    <w:rsid w:val="00B92DDC"/>
    <w:rsid w:val="00B94D10"/>
    <w:rsid w:val="00B97532"/>
    <w:rsid w:val="00BA0AD4"/>
    <w:rsid w:val="00BA0FF6"/>
    <w:rsid w:val="00BA42AE"/>
    <w:rsid w:val="00BA460E"/>
    <w:rsid w:val="00BA5233"/>
    <w:rsid w:val="00BA5626"/>
    <w:rsid w:val="00BA5B5B"/>
    <w:rsid w:val="00BA61C5"/>
    <w:rsid w:val="00BB031B"/>
    <w:rsid w:val="00BB07B1"/>
    <w:rsid w:val="00BB1C13"/>
    <w:rsid w:val="00BB1C86"/>
    <w:rsid w:val="00BB249C"/>
    <w:rsid w:val="00BB4B8F"/>
    <w:rsid w:val="00BB66DA"/>
    <w:rsid w:val="00BB6DCA"/>
    <w:rsid w:val="00BB7A61"/>
    <w:rsid w:val="00BC0B41"/>
    <w:rsid w:val="00BC15CC"/>
    <w:rsid w:val="00BC181F"/>
    <w:rsid w:val="00BC35E4"/>
    <w:rsid w:val="00BC48E8"/>
    <w:rsid w:val="00BC67F1"/>
    <w:rsid w:val="00BD0572"/>
    <w:rsid w:val="00BD0B48"/>
    <w:rsid w:val="00BD52DB"/>
    <w:rsid w:val="00BD6654"/>
    <w:rsid w:val="00BD682D"/>
    <w:rsid w:val="00BD7A76"/>
    <w:rsid w:val="00BE0172"/>
    <w:rsid w:val="00BE306E"/>
    <w:rsid w:val="00BE4396"/>
    <w:rsid w:val="00BE4978"/>
    <w:rsid w:val="00BE752C"/>
    <w:rsid w:val="00BE76AA"/>
    <w:rsid w:val="00BF1E3E"/>
    <w:rsid w:val="00BF204D"/>
    <w:rsid w:val="00BF2B08"/>
    <w:rsid w:val="00BF776C"/>
    <w:rsid w:val="00C00625"/>
    <w:rsid w:val="00C009A5"/>
    <w:rsid w:val="00C022D3"/>
    <w:rsid w:val="00C03DCB"/>
    <w:rsid w:val="00C04208"/>
    <w:rsid w:val="00C04AB1"/>
    <w:rsid w:val="00C05E6A"/>
    <w:rsid w:val="00C0732A"/>
    <w:rsid w:val="00C0777D"/>
    <w:rsid w:val="00C13D1A"/>
    <w:rsid w:val="00C13F18"/>
    <w:rsid w:val="00C16F48"/>
    <w:rsid w:val="00C204B2"/>
    <w:rsid w:val="00C2076C"/>
    <w:rsid w:val="00C210CD"/>
    <w:rsid w:val="00C22FF8"/>
    <w:rsid w:val="00C235EF"/>
    <w:rsid w:val="00C245A8"/>
    <w:rsid w:val="00C25250"/>
    <w:rsid w:val="00C256D6"/>
    <w:rsid w:val="00C25A4A"/>
    <w:rsid w:val="00C26D07"/>
    <w:rsid w:val="00C31774"/>
    <w:rsid w:val="00C31ECC"/>
    <w:rsid w:val="00C32A2D"/>
    <w:rsid w:val="00C341E2"/>
    <w:rsid w:val="00C353E7"/>
    <w:rsid w:val="00C36616"/>
    <w:rsid w:val="00C37DE7"/>
    <w:rsid w:val="00C401BE"/>
    <w:rsid w:val="00C42D43"/>
    <w:rsid w:val="00C43904"/>
    <w:rsid w:val="00C460DD"/>
    <w:rsid w:val="00C504DD"/>
    <w:rsid w:val="00C537E8"/>
    <w:rsid w:val="00C54466"/>
    <w:rsid w:val="00C610BB"/>
    <w:rsid w:val="00C625EA"/>
    <w:rsid w:val="00C635CD"/>
    <w:rsid w:val="00C64DF8"/>
    <w:rsid w:val="00C6509E"/>
    <w:rsid w:val="00C66CC7"/>
    <w:rsid w:val="00C66ECD"/>
    <w:rsid w:val="00C67160"/>
    <w:rsid w:val="00C70402"/>
    <w:rsid w:val="00C711BB"/>
    <w:rsid w:val="00C73372"/>
    <w:rsid w:val="00C7711F"/>
    <w:rsid w:val="00C81309"/>
    <w:rsid w:val="00C81906"/>
    <w:rsid w:val="00C82F54"/>
    <w:rsid w:val="00C83DB9"/>
    <w:rsid w:val="00C84F36"/>
    <w:rsid w:val="00C85212"/>
    <w:rsid w:val="00C86D48"/>
    <w:rsid w:val="00C86D64"/>
    <w:rsid w:val="00C87909"/>
    <w:rsid w:val="00C87942"/>
    <w:rsid w:val="00C90B5D"/>
    <w:rsid w:val="00C92CCD"/>
    <w:rsid w:val="00C9394E"/>
    <w:rsid w:val="00C97825"/>
    <w:rsid w:val="00C97C12"/>
    <w:rsid w:val="00CA0636"/>
    <w:rsid w:val="00CA30D3"/>
    <w:rsid w:val="00CA3422"/>
    <w:rsid w:val="00CA7C2E"/>
    <w:rsid w:val="00CB3CA2"/>
    <w:rsid w:val="00CB5196"/>
    <w:rsid w:val="00CB66FE"/>
    <w:rsid w:val="00CB6E06"/>
    <w:rsid w:val="00CC0061"/>
    <w:rsid w:val="00CC03F0"/>
    <w:rsid w:val="00CC0AEC"/>
    <w:rsid w:val="00CC1E73"/>
    <w:rsid w:val="00CC2A92"/>
    <w:rsid w:val="00CC3B81"/>
    <w:rsid w:val="00CC4A53"/>
    <w:rsid w:val="00CC5670"/>
    <w:rsid w:val="00CC6B69"/>
    <w:rsid w:val="00CC70B9"/>
    <w:rsid w:val="00CC732B"/>
    <w:rsid w:val="00CC7E48"/>
    <w:rsid w:val="00CD2D9F"/>
    <w:rsid w:val="00CD509D"/>
    <w:rsid w:val="00CD58E9"/>
    <w:rsid w:val="00CD5CB4"/>
    <w:rsid w:val="00CE01A8"/>
    <w:rsid w:val="00CE16FB"/>
    <w:rsid w:val="00CE333E"/>
    <w:rsid w:val="00CE34CF"/>
    <w:rsid w:val="00CE529B"/>
    <w:rsid w:val="00CE6AC4"/>
    <w:rsid w:val="00CE7B51"/>
    <w:rsid w:val="00CF18BC"/>
    <w:rsid w:val="00CF458C"/>
    <w:rsid w:val="00CF52FE"/>
    <w:rsid w:val="00CF68A8"/>
    <w:rsid w:val="00D00A27"/>
    <w:rsid w:val="00D00CF1"/>
    <w:rsid w:val="00D0115D"/>
    <w:rsid w:val="00D038A4"/>
    <w:rsid w:val="00D05D4E"/>
    <w:rsid w:val="00D10207"/>
    <w:rsid w:val="00D11024"/>
    <w:rsid w:val="00D121F4"/>
    <w:rsid w:val="00D12B2B"/>
    <w:rsid w:val="00D176BC"/>
    <w:rsid w:val="00D20919"/>
    <w:rsid w:val="00D2148C"/>
    <w:rsid w:val="00D24ECC"/>
    <w:rsid w:val="00D351A5"/>
    <w:rsid w:val="00D37175"/>
    <w:rsid w:val="00D3731B"/>
    <w:rsid w:val="00D4134E"/>
    <w:rsid w:val="00D446C5"/>
    <w:rsid w:val="00D450B8"/>
    <w:rsid w:val="00D45327"/>
    <w:rsid w:val="00D45DEC"/>
    <w:rsid w:val="00D504EF"/>
    <w:rsid w:val="00D5250F"/>
    <w:rsid w:val="00D549CB"/>
    <w:rsid w:val="00D55217"/>
    <w:rsid w:val="00D55663"/>
    <w:rsid w:val="00D56364"/>
    <w:rsid w:val="00D6021D"/>
    <w:rsid w:val="00D60F77"/>
    <w:rsid w:val="00D6442D"/>
    <w:rsid w:val="00D648B1"/>
    <w:rsid w:val="00D64E51"/>
    <w:rsid w:val="00D66411"/>
    <w:rsid w:val="00D6715A"/>
    <w:rsid w:val="00D7078B"/>
    <w:rsid w:val="00D707A0"/>
    <w:rsid w:val="00D709AE"/>
    <w:rsid w:val="00D71F0D"/>
    <w:rsid w:val="00D727EA"/>
    <w:rsid w:val="00D737A1"/>
    <w:rsid w:val="00D7415E"/>
    <w:rsid w:val="00D747F9"/>
    <w:rsid w:val="00D7571D"/>
    <w:rsid w:val="00D805E9"/>
    <w:rsid w:val="00D80B4D"/>
    <w:rsid w:val="00D84629"/>
    <w:rsid w:val="00D85937"/>
    <w:rsid w:val="00D85A83"/>
    <w:rsid w:val="00D87053"/>
    <w:rsid w:val="00D90DE2"/>
    <w:rsid w:val="00D91071"/>
    <w:rsid w:val="00D91F3B"/>
    <w:rsid w:val="00D9218F"/>
    <w:rsid w:val="00D92620"/>
    <w:rsid w:val="00D92651"/>
    <w:rsid w:val="00D92E43"/>
    <w:rsid w:val="00D93325"/>
    <w:rsid w:val="00D9492E"/>
    <w:rsid w:val="00D974AC"/>
    <w:rsid w:val="00DA0B54"/>
    <w:rsid w:val="00DA4333"/>
    <w:rsid w:val="00DA5E75"/>
    <w:rsid w:val="00DA789F"/>
    <w:rsid w:val="00DB0435"/>
    <w:rsid w:val="00DB050E"/>
    <w:rsid w:val="00DB0B5D"/>
    <w:rsid w:val="00DB0FEE"/>
    <w:rsid w:val="00DB1ECB"/>
    <w:rsid w:val="00DB2F84"/>
    <w:rsid w:val="00DB3DAE"/>
    <w:rsid w:val="00DB5177"/>
    <w:rsid w:val="00DC08F2"/>
    <w:rsid w:val="00DC2277"/>
    <w:rsid w:val="00DC32EB"/>
    <w:rsid w:val="00DC3F57"/>
    <w:rsid w:val="00DC55CC"/>
    <w:rsid w:val="00DC63F4"/>
    <w:rsid w:val="00DC6E7D"/>
    <w:rsid w:val="00DC7453"/>
    <w:rsid w:val="00DC7F49"/>
    <w:rsid w:val="00DD230C"/>
    <w:rsid w:val="00DD2B97"/>
    <w:rsid w:val="00DD39D7"/>
    <w:rsid w:val="00DD454D"/>
    <w:rsid w:val="00DD50B8"/>
    <w:rsid w:val="00DD5668"/>
    <w:rsid w:val="00DD5E9B"/>
    <w:rsid w:val="00DD708F"/>
    <w:rsid w:val="00DE0A72"/>
    <w:rsid w:val="00DE11BA"/>
    <w:rsid w:val="00DE53E6"/>
    <w:rsid w:val="00DE594D"/>
    <w:rsid w:val="00DE7F49"/>
    <w:rsid w:val="00DF0088"/>
    <w:rsid w:val="00DF46DC"/>
    <w:rsid w:val="00DF4F28"/>
    <w:rsid w:val="00DF58A1"/>
    <w:rsid w:val="00DF6DA2"/>
    <w:rsid w:val="00E0351B"/>
    <w:rsid w:val="00E0626C"/>
    <w:rsid w:val="00E07462"/>
    <w:rsid w:val="00E1025D"/>
    <w:rsid w:val="00E11263"/>
    <w:rsid w:val="00E11B8A"/>
    <w:rsid w:val="00E121D8"/>
    <w:rsid w:val="00E16A4C"/>
    <w:rsid w:val="00E16B60"/>
    <w:rsid w:val="00E174DF"/>
    <w:rsid w:val="00E17E76"/>
    <w:rsid w:val="00E17F75"/>
    <w:rsid w:val="00E23966"/>
    <w:rsid w:val="00E246EC"/>
    <w:rsid w:val="00E25786"/>
    <w:rsid w:val="00E2621A"/>
    <w:rsid w:val="00E34033"/>
    <w:rsid w:val="00E35E09"/>
    <w:rsid w:val="00E36178"/>
    <w:rsid w:val="00E41A8A"/>
    <w:rsid w:val="00E42756"/>
    <w:rsid w:val="00E43AB5"/>
    <w:rsid w:val="00E4484B"/>
    <w:rsid w:val="00E450BC"/>
    <w:rsid w:val="00E458C0"/>
    <w:rsid w:val="00E45C27"/>
    <w:rsid w:val="00E45D16"/>
    <w:rsid w:val="00E47CCD"/>
    <w:rsid w:val="00E53055"/>
    <w:rsid w:val="00E560DB"/>
    <w:rsid w:val="00E56EC6"/>
    <w:rsid w:val="00E61E9D"/>
    <w:rsid w:val="00E62405"/>
    <w:rsid w:val="00E62E35"/>
    <w:rsid w:val="00E63A36"/>
    <w:rsid w:val="00E650E7"/>
    <w:rsid w:val="00E66178"/>
    <w:rsid w:val="00E70B8F"/>
    <w:rsid w:val="00E7142B"/>
    <w:rsid w:val="00E752B6"/>
    <w:rsid w:val="00E75C08"/>
    <w:rsid w:val="00E75E7D"/>
    <w:rsid w:val="00E775BD"/>
    <w:rsid w:val="00E777A7"/>
    <w:rsid w:val="00E8112E"/>
    <w:rsid w:val="00E81D85"/>
    <w:rsid w:val="00E8397D"/>
    <w:rsid w:val="00E84030"/>
    <w:rsid w:val="00E841B2"/>
    <w:rsid w:val="00E859E7"/>
    <w:rsid w:val="00E85C71"/>
    <w:rsid w:val="00E900B6"/>
    <w:rsid w:val="00E96775"/>
    <w:rsid w:val="00E970AB"/>
    <w:rsid w:val="00E978A4"/>
    <w:rsid w:val="00EA3FBB"/>
    <w:rsid w:val="00EA4728"/>
    <w:rsid w:val="00EA5CA9"/>
    <w:rsid w:val="00EA6C6F"/>
    <w:rsid w:val="00EB214B"/>
    <w:rsid w:val="00EB2BCD"/>
    <w:rsid w:val="00EB4ACF"/>
    <w:rsid w:val="00EB6DD1"/>
    <w:rsid w:val="00EB7748"/>
    <w:rsid w:val="00EC23A7"/>
    <w:rsid w:val="00EC2894"/>
    <w:rsid w:val="00EC38AB"/>
    <w:rsid w:val="00EC53B1"/>
    <w:rsid w:val="00EC5892"/>
    <w:rsid w:val="00ED08B0"/>
    <w:rsid w:val="00ED3563"/>
    <w:rsid w:val="00ED3735"/>
    <w:rsid w:val="00ED54A5"/>
    <w:rsid w:val="00ED64C2"/>
    <w:rsid w:val="00ED79B8"/>
    <w:rsid w:val="00ED7AA7"/>
    <w:rsid w:val="00EE09D0"/>
    <w:rsid w:val="00EE0F9D"/>
    <w:rsid w:val="00EE15A1"/>
    <w:rsid w:val="00EE2828"/>
    <w:rsid w:val="00EE529F"/>
    <w:rsid w:val="00EE78D4"/>
    <w:rsid w:val="00EF181A"/>
    <w:rsid w:val="00EF1A0C"/>
    <w:rsid w:val="00EF1F63"/>
    <w:rsid w:val="00EF3156"/>
    <w:rsid w:val="00EF3A34"/>
    <w:rsid w:val="00EF619F"/>
    <w:rsid w:val="00EF7B7D"/>
    <w:rsid w:val="00EF7EAC"/>
    <w:rsid w:val="00F01274"/>
    <w:rsid w:val="00F017C0"/>
    <w:rsid w:val="00F023E6"/>
    <w:rsid w:val="00F041E0"/>
    <w:rsid w:val="00F042CF"/>
    <w:rsid w:val="00F04F2B"/>
    <w:rsid w:val="00F0539C"/>
    <w:rsid w:val="00F05D00"/>
    <w:rsid w:val="00F065BD"/>
    <w:rsid w:val="00F06B75"/>
    <w:rsid w:val="00F070CA"/>
    <w:rsid w:val="00F10FB0"/>
    <w:rsid w:val="00F1221F"/>
    <w:rsid w:val="00F15328"/>
    <w:rsid w:val="00F15C68"/>
    <w:rsid w:val="00F21ADA"/>
    <w:rsid w:val="00F2472E"/>
    <w:rsid w:val="00F25C70"/>
    <w:rsid w:val="00F26B5C"/>
    <w:rsid w:val="00F300F0"/>
    <w:rsid w:val="00F302A9"/>
    <w:rsid w:val="00F31806"/>
    <w:rsid w:val="00F34ABA"/>
    <w:rsid w:val="00F3644D"/>
    <w:rsid w:val="00F3657A"/>
    <w:rsid w:val="00F36AFA"/>
    <w:rsid w:val="00F37819"/>
    <w:rsid w:val="00F37946"/>
    <w:rsid w:val="00F37C1F"/>
    <w:rsid w:val="00F410DA"/>
    <w:rsid w:val="00F41760"/>
    <w:rsid w:val="00F423F6"/>
    <w:rsid w:val="00F42B6C"/>
    <w:rsid w:val="00F44D19"/>
    <w:rsid w:val="00F458FF"/>
    <w:rsid w:val="00F459E9"/>
    <w:rsid w:val="00F46A04"/>
    <w:rsid w:val="00F477F2"/>
    <w:rsid w:val="00F52E2C"/>
    <w:rsid w:val="00F53132"/>
    <w:rsid w:val="00F56C1A"/>
    <w:rsid w:val="00F570C6"/>
    <w:rsid w:val="00F571F6"/>
    <w:rsid w:val="00F60025"/>
    <w:rsid w:val="00F610B6"/>
    <w:rsid w:val="00F64417"/>
    <w:rsid w:val="00F71609"/>
    <w:rsid w:val="00F72E4B"/>
    <w:rsid w:val="00F73110"/>
    <w:rsid w:val="00F743F8"/>
    <w:rsid w:val="00F764CD"/>
    <w:rsid w:val="00F770A2"/>
    <w:rsid w:val="00F804DC"/>
    <w:rsid w:val="00F8116A"/>
    <w:rsid w:val="00F81A96"/>
    <w:rsid w:val="00F83B1F"/>
    <w:rsid w:val="00F844BB"/>
    <w:rsid w:val="00F85B39"/>
    <w:rsid w:val="00F86FDF"/>
    <w:rsid w:val="00F901FA"/>
    <w:rsid w:val="00F91CEC"/>
    <w:rsid w:val="00F960C6"/>
    <w:rsid w:val="00F966F0"/>
    <w:rsid w:val="00F97902"/>
    <w:rsid w:val="00FA1CBB"/>
    <w:rsid w:val="00FA2E02"/>
    <w:rsid w:val="00FA2EF5"/>
    <w:rsid w:val="00FA421A"/>
    <w:rsid w:val="00FA43F5"/>
    <w:rsid w:val="00FA6051"/>
    <w:rsid w:val="00FA60F1"/>
    <w:rsid w:val="00FB18C8"/>
    <w:rsid w:val="00FB3F88"/>
    <w:rsid w:val="00FB4C3E"/>
    <w:rsid w:val="00FB52E2"/>
    <w:rsid w:val="00FB73B7"/>
    <w:rsid w:val="00FC061F"/>
    <w:rsid w:val="00FC4427"/>
    <w:rsid w:val="00FC59C6"/>
    <w:rsid w:val="00FD06F6"/>
    <w:rsid w:val="00FD119E"/>
    <w:rsid w:val="00FD1F08"/>
    <w:rsid w:val="00FD59AB"/>
    <w:rsid w:val="00FD6495"/>
    <w:rsid w:val="00FD6E16"/>
    <w:rsid w:val="00FD6F93"/>
    <w:rsid w:val="00FD72F1"/>
    <w:rsid w:val="00FD7705"/>
    <w:rsid w:val="00FD7CB2"/>
    <w:rsid w:val="00FE06AF"/>
    <w:rsid w:val="00FE1B32"/>
    <w:rsid w:val="00FE2BF6"/>
    <w:rsid w:val="00FF0AF6"/>
    <w:rsid w:val="00FF0C44"/>
    <w:rsid w:val="00FF0D74"/>
    <w:rsid w:val="00FF0DA9"/>
    <w:rsid w:val="00FF1EA9"/>
    <w:rsid w:val="00FF27D0"/>
    <w:rsid w:val="00FF2E3B"/>
    <w:rsid w:val="00FF3655"/>
    <w:rsid w:val="00FF57E1"/>
    <w:rsid w:val="00FF5C5C"/>
    <w:rsid w:val="00FF618A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A0374B03-5EFF-48BD-9514-031D2693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7A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rsid w:val="00254D7A"/>
    <w:pPr>
      <w:keepNext/>
      <w:widowControl/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912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BD52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"/>
    <w:basedOn w:val="Normal"/>
    <w:uiPriority w:val="99"/>
    <w:rsid w:val="00254D7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254D7A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7B537B"/>
    <w:rPr>
      <w:b/>
      <w:bCs/>
    </w:rPr>
  </w:style>
  <w:style w:type="paragraph" w:styleId="Sangradetextonormal">
    <w:name w:val="Body Text Indent"/>
    <w:basedOn w:val="Normal"/>
    <w:rsid w:val="00AE4D87"/>
    <w:pPr>
      <w:widowControl/>
      <w:overflowPunct/>
      <w:ind w:left="360" w:hanging="360"/>
      <w:textAlignment w:val="auto"/>
    </w:pPr>
    <w:rPr>
      <w:rFonts w:ascii="Arial" w:hAnsi="Arial" w:cs="Arial"/>
      <w:sz w:val="28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F3655"/>
    <w:pPr>
      <w:ind w:left="708"/>
    </w:pPr>
  </w:style>
  <w:style w:type="character" w:customStyle="1" w:styleId="Ttulo5Car">
    <w:name w:val="Título 5 Car"/>
    <w:link w:val="Ttulo5"/>
    <w:rsid w:val="00BD52DB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D52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D52DB"/>
    <w:rPr>
      <w:lang w:val="es-ES_tradnl" w:eastAsia="es-ES"/>
    </w:rPr>
  </w:style>
  <w:style w:type="paragraph" w:styleId="Textonotapie">
    <w:name w:val="footnote text"/>
    <w:basedOn w:val="Normal"/>
    <w:link w:val="TextonotapieCar"/>
    <w:rsid w:val="00BD52DB"/>
    <w:pPr>
      <w:widowControl/>
      <w:overflowPunct/>
      <w:autoSpaceDE/>
      <w:autoSpaceDN/>
      <w:adjustRightInd/>
      <w:textAlignment w:val="auto"/>
    </w:pPr>
    <w:rPr>
      <w:lang w:val="es-ES"/>
    </w:rPr>
  </w:style>
  <w:style w:type="character" w:customStyle="1" w:styleId="TextonotapieCar">
    <w:name w:val="Texto nota pie Car"/>
    <w:link w:val="Textonotapie"/>
    <w:rsid w:val="00BD52DB"/>
    <w:rPr>
      <w:lang w:val="es-ES" w:eastAsia="es-ES"/>
    </w:rPr>
  </w:style>
  <w:style w:type="character" w:customStyle="1" w:styleId="PiedepginaCar">
    <w:name w:val="Pie de página Car"/>
    <w:link w:val="Piedepgina"/>
    <w:rsid w:val="00BD52DB"/>
    <w:rPr>
      <w:lang w:val="es-ES_tradnl" w:eastAsia="es-ES"/>
    </w:rPr>
  </w:style>
  <w:style w:type="character" w:styleId="Hipervnculo">
    <w:name w:val="Hyperlink"/>
    <w:rsid w:val="003E3FD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D6E1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D6E16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link w:val="Prrafodelista"/>
    <w:rsid w:val="00D549CB"/>
    <w:rPr>
      <w:lang w:val="es-ES_tradnl" w:eastAsia="es-ES"/>
    </w:rPr>
  </w:style>
  <w:style w:type="character" w:customStyle="1" w:styleId="Ttulo3Car">
    <w:name w:val="Título 3 Car"/>
    <w:link w:val="Ttulo3"/>
    <w:semiHidden/>
    <w:rsid w:val="00391284"/>
    <w:rPr>
      <w:rFonts w:ascii="Cambria" w:eastAsia="Times New Roman" w:hAnsi="Cambria" w:cs="Times New Roman"/>
      <w:b/>
      <w:bCs/>
      <w:color w:val="4F81BD"/>
      <w:lang w:val="es-ES_tradnl" w:eastAsia="es-ES"/>
    </w:rPr>
  </w:style>
  <w:style w:type="character" w:styleId="Refdecomentario">
    <w:name w:val="annotation reference"/>
    <w:rsid w:val="00790722"/>
    <w:rPr>
      <w:sz w:val="16"/>
      <w:szCs w:val="16"/>
    </w:rPr>
  </w:style>
  <w:style w:type="character" w:styleId="nfasis">
    <w:name w:val="Emphasis"/>
    <w:qFormat/>
    <w:rsid w:val="00BE4978"/>
    <w:rPr>
      <w:i/>
      <w:iCs/>
    </w:rPr>
  </w:style>
  <w:style w:type="paragraph" w:customStyle="1" w:styleId="ecxmsonormal">
    <w:name w:val="ecxmsonormal"/>
    <w:basedOn w:val="Normal"/>
    <w:rsid w:val="004D5D6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E121D8"/>
    <w:rPr>
      <w:vertAlign w:val="superscript"/>
    </w:rPr>
  </w:style>
  <w:style w:type="paragraph" w:customStyle="1" w:styleId="Default">
    <w:name w:val="Default"/>
    <w:rsid w:val="00402E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C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DDE6EC-4C88-4CA9-9CCF-BEDADA3A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ASESOR CON FUNCIONES DE COORDINADOR DE LA UNIDAD TERRITORIAL DE &lt;departamento o región&gt; DE LA AGENCIA PRESIDENCIAL PARA LA ACCIÓN SOCIAL</vt:lpstr>
    </vt:vector>
  </TitlesOfParts>
  <Company>ACCION SOCIAL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ASESOR CON FUNCIONES DE COORDINADOR DE LA UNIDAD TERRITORIAL DE &lt;departamento o región&gt; DE LA AGENCIA PRESIDENCIAL PARA LA ACCIÓN SOCIAL</dc:title>
  <dc:subject/>
  <dc:creator>ACCION SOCIAL</dc:creator>
  <cp:keywords/>
  <cp:lastModifiedBy>Eudomenia Elina Cotes Curvelo</cp:lastModifiedBy>
  <cp:revision>6</cp:revision>
  <cp:lastPrinted>2012-02-29T22:03:00Z</cp:lastPrinted>
  <dcterms:created xsi:type="dcterms:W3CDTF">2015-10-06T20:39:00Z</dcterms:created>
  <dcterms:modified xsi:type="dcterms:W3CDTF">2015-10-15T19:29:00Z</dcterms:modified>
</cp:coreProperties>
</file>